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BC" w:rsidRPr="002B1801" w:rsidRDefault="002B1801" w:rsidP="002B1801">
      <w:pPr>
        <w:pBdr>
          <w:top w:val="double" w:sz="4" w:space="1" w:color="auto"/>
          <w:left w:val="double" w:sz="4" w:space="0" w:color="auto"/>
          <w:bottom w:val="double" w:sz="4" w:space="1" w:color="auto"/>
          <w:right w:val="double" w:sz="4" w:space="4" w:color="auto"/>
        </w:pBdr>
        <w:shd w:val="clear" w:color="auto" w:fill="E5B8B7" w:themeFill="accent2" w:themeFillTint="66"/>
        <w:spacing w:line="276" w:lineRule="auto"/>
        <w:ind w:firstLine="360"/>
        <w:rPr>
          <w:rFonts w:ascii="Calibri" w:hAnsi="Calibri" w:cs="Calibri"/>
          <w:color w:val="auto"/>
          <w:sz w:val="28"/>
          <w:szCs w:val="28"/>
          <w:lang w:val="el-GR"/>
        </w:rPr>
      </w:pPr>
      <w:r>
        <w:rPr>
          <w:rFonts w:ascii="Calibri" w:hAnsi="Calibri" w:cs="Calibri"/>
          <w:color w:val="auto"/>
          <w:sz w:val="28"/>
          <w:szCs w:val="28"/>
          <w:lang w:val="el-GR"/>
        </w:rPr>
        <w:t>ΠΑΡΑΡΤΗΜΑ Ι</w:t>
      </w:r>
    </w:p>
    <w:p w:rsidR="002572BC" w:rsidRPr="001A306D" w:rsidRDefault="002572BC" w:rsidP="003F6AB1">
      <w:pPr>
        <w:pStyle w:val="ListParagraph"/>
        <w:spacing w:after="200" w:line="276" w:lineRule="auto"/>
        <w:ind w:left="360"/>
        <w:jc w:val="center"/>
        <w:rPr>
          <w:rFonts w:ascii="Calibri" w:hAnsi="Calibri" w:cs="Calibri"/>
          <w:color w:val="auto"/>
          <w:spacing w:val="4"/>
          <w:sz w:val="8"/>
          <w:szCs w:val="8"/>
          <w:lang w:val="el-GR"/>
        </w:rPr>
      </w:pPr>
    </w:p>
    <w:p w:rsidR="002572BC" w:rsidRPr="001A306D" w:rsidRDefault="002572BC" w:rsidP="003F6AB1">
      <w:pPr>
        <w:pStyle w:val="ListParagraph"/>
        <w:spacing w:after="200" w:line="276" w:lineRule="auto"/>
        <w:ind w:left="360"/>
        <w:jc w:val="center"/>
        <w:rPr>
          <w:rFonts w:ascii="Calibri" w:hAnsi="Calibri" w:cs="Calibri"/>
          <w:b w:val="0"/>
          <w:bCs w:val="0"/>
          <w:color w:val="auto"/>
          <w:sz w:val="22"/>
          <w:szCs w:val="22"/>
          <w:lang w:val="el-GR"/>
        </w:rPr>
      </w:pPr>
      <w:r w:rsidRPr="001A306D">
        <w:rPr>
          <w:rFonts w:ascii="Calibri" w:hAnsi="Calibri" w:cs="Calibri"/>
          <w:color w:val="auto"/>
          <w:spacing w:val="4"/>
          <w:sz w:val="22"/>
          <w:szCs w:val="22"/>
          <w:lang w:val="el-GR"/>
        </w:rPr>
        <w:t>ΑΝΑΛΥΣΗ ΣΤΟΙΧΕΙΩΝ ΕΓΓΕΓΡΑΜΜΕΝΗΣ</w:t>
      </w:r>
      <w:r w:rsidRPr="001A306D">
        <w:rPr>
          <w:rStyle w:val="FootnoteReference"/>
          <w:rFonts w:ascii="Calibri" w:hAnsi="Calibri" w:cs="Calibri"/>
          <w:color w:val="auto"/>
          <w:spacing w:val="4"/>
          <w:sz w:val="22"/>
          <w:szCs w:val="22"/>
        </w:rPr>
        <w:footnoteReference w:id="1"/>
      </w:r>
      <w:r w:rsidRPr="001A306D">
        <w:rPr>
          <w:rFonts w:ascii="Calibri" w:hAnsi="Calibri" w:cs="Calibri"/>
          <w:color w:val="auto"/>
          <w:spacing w:val="4"/>
          <w:sz w:val="22"/>
          <w:szCs w:val="22"/>
          <w:lang w:val="el-GR"/>
        </w:rPr>
        <w:t xml:space="preserve"> ΑΝΕΡΓΙΑΣ ΚΑΙ ΣΤΟΙΧΕΙΩΝ ΑΠΟ ΑΛΛΕΣ ΠΗΓΕΣ</w:t>
      </w:r>
    </w:p>
    <w:p w:rsidR="002572BC" w:rsidRPr="001A306D" w:rsidRDefault="002C2BF7" w:rsidP="00552EEB">
      <w:pPr>
        <w:pStyle w:val="ListParagraph"/>
        <w:numPr>
          <w:ilvl w:val="0"/>
          <w:numId w:val="10"/>
        </w:numPr>
        <w:spacing w:line="276" w:lineRule="auto"/>
        <w:jc w:val="both"/>
        <w:rPr>
          <w:rFonts w:ascii="Calibri" w:hAnsi="Calibri" w:cs="Calibri"/>
          <w:i/>
          <w:iCs/>
          <w:color w:val="auto"/>
          <w:sz w:val="22"/>
          <w:szCs w:val="22"/>
          <w:lang w:val="el-GR"/>
        </w:rPr>
      </w:pPr>
      <w:r w:rsidRPr="001A306D">
        <w:rPr>
          <w:rFonts w:asciiTheme="minorHAnsi" w:hAnsiTheme="minorHAnsi" w:cs="Arial"/>
          <w:i/>
          <w:iCs/>
          <w:color w:val="auto"/>
          <w:lang w:val="el-GR"/>
        </w:rPr>
        <w:t xml:space="preserve">Σύγκριση μεταξύ </w:t>
      </w:r>
      <w:r w:rsidR="00C65345">
        <w:rPr>
          <w:rFonts w:asciiTheme="minorHAnsi" w:hAnsiTheme="minorHAnsi" w:cs="Arial"/>
          <w:i/>
          <w:iCs/>
          <w:color w:val="auto"/>
          <w:lang w:val="el-GR"/>
        </w:rPr>
        <w:t xml:space="preserve">Ιανουαρίου </w:t>
      </w:r>
      <w:r w:rsidRPr="001A306D">
        <w:rPr>
          <w:rFonts w:asciiTheme="minorHAnsi" w:hAnsiTheme="minorHAnsi" w:cs="Arial"/>
          <w:i/>
          <w:iCs/>
          <w:color w:val="auto"/>
          <w:lang w:val="el-GR"/>
        </w:rPr>
        <w:t>201</w:t>
      </w:r>
      <w:r w:rsidR="00C65345">
        <w:rPr>
          <w:rFonts w:asciiTheme="minorHAnsi" w:hAnsiTheme="minorHAnsi" w:cs="Arial"/>
          <w:i/>
          <w:iCs/>
          <w:color w:val="auto"/>
          <w:lang w:val="el-GR"/>
        </w:rPr>
        <w:t>5</w:t>
      </w:r>
      <w:r w:rsidRPr="001A306D">
        <w:rPr>
          <w:rFonts w:asciiTheme="minorHAnsi" w:hAnsiTheme="minorHAnsi" w:cs="Arial"/>
          <w:i/>
          <w:iCs/>
          <w:color w:val="auto"/>
          <w:lang w:val="el-GR"/>
        </w:rPr>
        <w:t xml:space="preserve"> </w:t>
      </w:r>
      <w:r w:rsidR="00E24F5D" w:rsidRPr="001A306D">
        <w:rPr>
          <w:rFonts w:asciiTheme="minorHAnsi" w:hAnsiTheme="minorHAnsi" w:cs="Arial"/>
          <w:i/>
          <w:iCs/>
          <w:color w:val="auto"/>
          <w:lang w:val="el-GR"/>
        </w:rPr>
        <w:t>με</w:t>
      </w:r>
      <w:r w:rsidRPr="001A306D">
        <w:rPr>
          <w:rFonts w:asciiTheme="minorHAnsi" w:hAnsiTheme="minorHAnsi" w:cs="Arial"/>
          <w:i/>
          <w:iCs/>
          <w:color w:val="auto"/>
          <w:lang w:val="el-GR"/>
        </w:rPr>
        <w:t xml:space="preserve"> 201</w:t>
      </w:r>
      <w:r w:rsidR="00C65345">
        <w:rPr>
          <w:rFonts w:asciiTheme="minorHAnsi" w:hAnsiTheme="minorHAnsi" w:cs="Arial"/>
          <w:i/>
          <w:iCs/>
          <w:color w:val="auto"/>
          <w:lang w:val="el-GR"/>
        </w:rPr>
        <w:t>6</w:t>
      </w:r>
      <w:r w:rsidRPr="001A306D">
        <w:rPr>
          <w:rFonts w:asciiTheme="minorHAnsi" w:hAnsiTheme="minorHAnsi" w:cs="Arial"/>
          <w:i/>
          <w:iCs/>
          <w:color w:val="auto"/>
          <w:sz w:val="22"/>
          <w:szCs w:val="22"/>
          <w:lang w:val="el-GR"/>
        </w:rPr>
        <w:t xml:space="preserve"> </w:t>
      </w:r>
      <w:r w:rsidR="002572BC" w:rsidRPr="001A306D">
        <w:rPr>
          <w:rFonts w:ascii="Calibri" w:hAnsi="Calibri" w:cs="Calibri"/>
          <w:i/>
          <w:iCs/>
          <w:color w:val="auto"/>
          <w:sz w:val="22"/>
          <w:szCs w:val="22"/>
          <w:lang w:val="el-GR"/>
        </w:rPr>
        <w:t>(</w:t>
      </w:r>
      <w:r w:rsidR="002572BC" w:rsidRPr="001A306D">
        <w:rPr>
          <w:rFonts w:ascii="Calibri" w:hAnsi="Calibri" w:cs="Calibri"/>
          <w:i/>
          <w:iCs/>
          <w:color w:val="auto"/>
          <w:sz w:val="22"/>
          <w:szCs w:val="22"/>
          <w:u w:val="single"/>
          <w:lang w:val="el-GR"/>
        </w:rPr>
        <w:t>ετήσια σύγκριση</w:t>
      </w:r>
      <w:r w:rsidR="002572BC" w:rsidRPr="001A306D">
        <w:rPr>
          <w:rFonts w:ascii="Calibri" w:hAnsi="Calibri" w:cs="Calibri"/>
          <w:i/>
          <w:iCs/>
          <w:color w:val="auto"/>
          <w:sz w:val="22"/>
          <w:szCs w:val="22"/>
          <w:lang w:val="el-GR"/>
        </w:rPr>
        <w:t>)</w:t>
      </w:r>
      <w:r w:rsidR="00D81C11" w:rsidRPr="001A306D">
        <w:rPr>
          <w:rFonts w:ascii="Calibri" w:hAnsi="Calibri" w:cs="Calibri"/>
          <w:i/>
          <w:iCs/>
          <w:color w:val="auto"/>
          <w:sz w:val="22"/>
          <w:szCs w:val="22"/>
          <w:lang w:val="el-GR"/>
        </w:rPr>
        <w:t xml:space="preserve"> </w:t>
      </w:r>
      <w:r w:rsidR="002572BC" w:rsidRPr="001A306D">
        <w:rPr>
          <w:rFonts w:ascii="Calibri" w:hAnsi="Calibri" w:cs="Calibri"/>
          <w:i/>
          <w:iCs/>
          <w:color w:val="auto"/>
          <w:sz w:val="22"/>
          <w:szCs w:val="22"/>
          <w:lang w:val="el-GR"/>
        </w:rPr>
        <w:t xml:space="preserve">(σχετικοί Πίνακες 1-8) </w:t>
      </w:r>
    </w:p>
    <w:p w:rsidR="002C2BF7" w:rsidRPr="001A306D" w:rsidRDefault="002C2BF7" w:rsidP="002C2BF7">
      <w:pPr>
        <w:pStyle w:val="ListParagraph"/>
        <w:spacing w:line="276" w:lineRule="auto"/>
        <w:ind w:left="0"/>
        <w:jc w:val="both"/>
        <w:rPr>
          <w:rFonts w:asciiTheme="minorHAnsi" w:hAnsiTheme="minorHAnsi" w:cs="Arial"/>
          <w:i/>
          <w:iCs/>
          <w:color w:val="auto"/>
          <w:sz w:val="16"/>
          <w:szCs w:val="16"/>
          <w:lang w:val="el-GR"/>
        </w:rPr>
      </w:pPr>
    </w:p>
    <w:p w:rsidR="00031613" w:rsidRPr="003140B3" w:rsidRDefault="00031613" w:rsidP="00031613">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3140B3">
        <w:rPr>
          <w:rFonts w:asciiTheme="minorHAnsi" w:hAnsiTheme="minorHAnsi" w:cs="Arial"/>
          <w:color w:val="auto"/>
          <w:sz w:val="22"/>
          <w:szCs w:val="22"/>
          <w:lang w:val="el-GR"/>
        </w:rPr>
        <w:t xml:space="preserve">Μείωση του αριθμού </w:t>
      </w:r>
      <w:r>
        <w:rPr>
          <w:rFonts w:asciiTheme="minorHAnsi" w:hAnsiTheme="minorHAnsi" w:cs="Arial"/>
          <w:b w:val="0"/>
          <w:bCs w:val="0"/>
          <w:color w:val="auto"/>
          <w:sz w:val="22"/>
          <w:szCs w:val="22"/>
          <w:lang w:val="el-GR"/>
        </w:rPr>
        <w:t xml:space="preserve">των εγγεγραμμένων ανέργων σε </w:t>
      </w:r>
      <w:r w:rsidRPr="00E518B3">
        <w:rPr>
          <w:rFonts w:asciiTheme="minorHAnsi" w:hAnsiTheme="minorHAnsi" w:cs="Arial"/>
          <w:b w:val="0"/>
          <w:bCs w:val="0"/>
          <w:color w:val="auto"/>
          <w:sz w:val="22"/>
          <w:szCs w:val="22"/>
          <w:lang w:val="el-GR"/>
        </w:rPr>
        <w:t>45,969</w:t>
      </w:r>
      <w:r>
        <w:rPr>
          <w:rFonts w:asciiTheme="minorHAnsi" w:hAnsiTheme="minorHAnsi" w:cs="Arial"/>
          <w:b w:val="0"/>
          <w:bCs w:val="0"/>
          <w:color w:val="auto"/>
          <w:sz w:val="22"/>
          <w:szCs w:val="22"/>
          <w:lang w:val="el-GR"/>
        </w:rPr>
        <w:t xml:space="preserve"> </w:t>
      </w:r>
      <w:r w:rsidRPr="003140B3">
        <w:rPr>
          <w:rFonts w:asciiTheme="minorHAnsi" w:hAnsiTheme="minorHAnsi" w:cs="Arial"/>
          <w:b w:val="0"/>
          <w:bCs w:val="0"/>
          <w:color w:val="auto"/>
          <w:sz w:val="22"/>
          <w:szCs w:val="22"/>
          <w:lang w:val="el-GR"/>
        </w:rPr>
        <w:t xml:space="preserve">από </w:t>
      </w:r>
      <w:r w:rsidRPr="00E518B3">
        <w:rPr>
          <w:rFonts w:asciiTheme="minorHAnsi" w:hAnsiTheme="minorHAnsi" w:cs="Arial"/>
          <w:b w:val="0"/>
          <w:bCs w:val="0"/>
          <w:color w:val="auto"/>
          <w:sz w:val="22"/>
          <w:szCs w:val="22"/>
          <w:lang w:val="el-GR"/>
        </w:rPr>
        <w:t>50,039</w:t>
      </w:r>
      <w:r>
        <w:rPr>
          <w:rFonts w:asciiTheme="minorHAnsi" w:hAnsiTheme="minorHAnsi" w:cs="Arial"/>
          <w:b w:val="0"/>
          <w:bCs w:val="0"/>
          <w:color w:val="auto"/>
          <w:sz w:val="22"/>
          <w:szCs w:val="22"/>
          <w:lang w:val="el-GR"/>
        </w:rPr>
        <w:t xml:space="preserve"> </w:t>
      </w:r>
      <w:r w:rsidRPr="003140B3">
        <w:rPr>
          <w:rFonts w:asciiTheme="minorHAnsi" w:hAnsiTheme="minorHAnsi" w:cs="Arial"/>
          <w:b w:val="0"/>
          <w:bCs w:val="0"/>
          <w:color w:val="auto"/>
          <w:sz w:val="22"/>
          <w:szCs w:val="22"/>
          <w:lang w:val="el-GR"/>
        </w:rPr>
        <w:t>άτομα τον αντίστοιχο μήνα του 201</w:t>
      </w:r>
      <w:r w:rsidRPr="00E518B3">
        <w:rPr>
          <w:rFonts w:asciiTheme="minorHAnsi" w:hAnsiTheme="minorHAnsi" w:cs="Arial"/>
          <w:b w:val="0"/>
          <w:bCs w:val="0"/>
          <w:color w:val="auto"/>
          <w:sz w:val="22"/>
          <w:szCs w:val="22"/>
          <w:lang w:val="el-GR"/>
        </w:rPr>
        <w:t>5</w:t>
      </w:r>
      <w:r w:rsidRPr="003140B3">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μείω</w:t>
      </w:r>
      <w:r w:rsidRPr="003140B3">
        <w:rPr>
          <w:rFonts w:asciiTheme="minorHAnsi" w:hAnsiTheme="minorHAnsi" w:cs="Arial"/>
          <w:b w:val="0"/>
          <w:bCs w:val="0"/>
          <w:color w:val="auto"/>
          <w:sz w:val="22"/>
          <w:szCs w:val="22"/>
          <w:lang w:val="el-GR"/>
        </w:rPr>
        <w:t xml:space="preserve">ση κατά </w:t>
      </w:r>
      <w:r w:rsidRPr="00E518B3">
        <w:rPr>
          <w:rFonts w:asciiTheme="minorHAnsi" w:hAnsiTheme="minorHAnsi" w:cs="Arial"/>
          <w:b w:val="0"/>
          <w:bCs w:val="0"/>
          <w:color w:val="auto"/>
          <w:sz w:val="22"/>
          <w:szCs w:val="22"/>
          <w:lang w:val="el-GR"/>
        </w:rPr>
        <w:t>8,1</w:t>
      </w:r>
      <w:r w:rsidRPr="003140B3">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 xml:space="preserve"> ή</w:t>
      </w:r>
      <w:r w:rsidRPr="006121EC">
        <w:rPr>
          <w:rFonts w:asciiTheme="minorHAnsi" w:hAnsiTheme="minorHAnsi" w:cs="Arial"/>
          <w:b w:val="0"/>
          <w:bCs w:val="0"/>
          <w:color w:val="auto"/>
          <w:sz w:val="22"/>
          <w:szCs w:val="22"/>
          <w:lang w:val="el-GR"/>
        </w:rPr>
        <w:t xml:space="preserve"> </w:t>
      </w:r>
      <w:r w:rsidRPr="00E518B3">
        <w:rPr>
          <w:rFonts w:asciiTheme="minorHAnsi" w:hAnsiTheme="minorHAnsi" w:cs="Arial"/>
          <w:b w:val="0"/>
          <w:bCs w:val="0"/>
          <w:color w:val="auto"/>
          <w:sz w:val="22"/>
          <w:szCs w:val="22"/>
          <w:lang w:val="el-GR"/>
        </w:rPr>
        <w:t>4,070</w:t>
      </w:r>
      <w:r>
        <w:rPr>
          <w:rFonts w:asciiTheme="minorHAnsi" w:hAnsiTheme="minorHAnsi" w:cs="Arial"/>
          <w:b w:val="0"/>
          <w:bCs w:val="0"/>
          <w:color w:val="auto"/>
          <w:sz w:val="22"/>
          <w:szCs w:val="22"/>
          <w:lang w:val="el-GR"/>
        </w:rPr>
        <w:t xml:space="preserve"> </w:t>
      </w:r>
      <w:r w:rsidRPr="003140B3">
        <w:rPr>
          <w:rFonts w:asciiTheme="minorHAnsi" w:hAnsiTheme="minorHAnsi" w:cs="Arial"/>
          <w:b w:val="0"/>
          <w:bCs w:val="0"/>
          <w:color w:val="auto"/>
          <w:sz w:val="22"/>
          <w:szCs w:val="22"/>
          <w:lang w:val="el-GR"/>
        </w:rPr>
        <w:t xml:space="preserve">άτομα). </w:t>
      </w:r>
      <w:r>
        <w:rPr>
          <w:rFonts w:asciiTheme="minorHAnsi" w:hAnsiTheme="minorHAnsi" w:cs="Arial"/>
          <w:b w:val="0"/>
          <w:bCs w:val="0"/>
          <w:color w:val="auto"/>
          <w:sz w:val="22"/>
          <w:szCs w:val="22"/>
          <w:lang w:val="el-GR"/>
        </w:rPr>
        <w:t xml:space="preserve">Επισημαίνεται ότι τα τελευταία δύο χρόνια  παρατηρείται μείωση της μηνιαίας εγγεγραμμένης ανεργίας σε σχέση με τους αντίστοιχους μήνες των προηγούμενων ετών. </w:t>
      </w:r>
    </w:p>
    <w:p w:rsidR="00E44498" w:rsidRPr="00031613" w:rsidRDefault="00031613" w:rsidP="00031613">
      <w:pPr>
        <w:pStyle w:val="ListParagraph"/>
        <w:numPr>
          <w:ilvl w:val="0"/>
          <w:numId w:val="1"/>
        </w:numPr>
        <w:spacing w:after="200" w:line="276" w:lineRule="auto"/>
        <w:jc w:val="both"/>
        <w:rPr>
          <w:rFonts w:asciiTheme="minorHAnsi" w:hAnsiTheme="minorHAnsi" w:cs="Arial"/>
          <w:b w:val="0"/>
          <w:bCs w:val="0"/>
          <w:color w:val="auto"/>
          <w:spacing w:val="2"/>
          <w:sz w:val="22"/>
          <w:szCs w:val="22"/>
          <w:lang w:val="el-GR"/>
        </w:rPr>
      </w:pPr>
      <w:r w:rsidRPr="003140B3">
        <w:rPr>
          <w:rFonts w:asciiTheme="minorHAnsi" w:hAnsiTheme="minorHAnsi" w:cs="Arial"/>
          <w:b w:val="0"/>
          <w:bCs w:val="0"/>
          <w:color w:val="auto"/>
          <w:sz w:val="22"/>
          <w:szCs w:val="22"/>
          <w:lang w:val="el-GR"/>
        </w:rPr>
        <w:t xml:space="preserve">Κατά </w:t>
      </w:r>
      <w:r w:rsidRPr="003140B3">
        <w:rPr>
          <w:rFonts w:asciiTheme="minorHAnsi" w:hAnsiTheme="minorHAnsi" w:cs="Arial"/>
          <w:color w:val="auto"/>
          <w:sz w:val="22"/>
          <w:szCs w:val="22"/>
          <w:lang w:val="el-GR"/>
        </w:rPr>
        <w:t>φύλο</w:t>
      </w:r>
      <w:r w:rsidRPr="003140B3">
        <w:rPr>
          <w:rFonts w:asciiTheme="minorHAnsi" w:hAnsiTheme="minorHAnsi" w:cs="Arial"/>
          <w:b w:val="0"/>
          <w:bCs w:val="0"/>
          <w:color w:val="auto"/>
          <w:sz w:val="22"/>
          <w:szCs w:val="22"/>
          <w:lang w:val="el-GR"/>
        </w:rPr>
        <w:t>, ο αριθμός των άνεργων αντρών</w:t>
      </w:r>
      <w:r>
        <w:rPr>
          <w:rFonts w:asciiTheme="minorHAnsi" w:hAnsiTheme="minorHAnsi" w:cs="Arial"/>
          <w:b w:val="0"/>
          <w:bCs w:val="0"/>
          <w:color w:val="auto"/>
          <w:sz w:val="22"/>
          <w:szCs w:val="22"/>
          <w:lang w:val="el-GR"/>
        </w:rPr>
        <w:t xml:space="preserve"> ανήλθε στα 23,384</w:t>
      </w:r>
      <w:r w:rsidRPr="003140B3">
        <w:rPr>
          <w:rFonts w:asciiTheme="minorHAnsi" w:hAnsiTheme="minorHAnsi" w:cs="Arial"/>
          <w:b w:val="0"/>
          <w:bCs w:val="0"/>
          <w:color w:val="auto"/>
          <w:sz w:val="22"/>
          <w:szCs w:val="22"/>
          <w:lang w:val="el-GR"/>
        </w:rPr>
        <w:t xml:space="preserve"> άτομα, ενώ ο αριθμός των ανέργων γυναικών </w:t>
      </w:r>
      <w:r>
        <w:rPr>
          <w:rFonts w:asciiTheme="minorHAnsi" w:hAnsiTheme="minorHAnsi" w:cs="Arial"/>
          <w:b w:val="0"/>
          <w:bCs w:val="0"/>
          <w:color w:val="auto"/>
          <w:sz w:val="22"/>
          <w:szCs w:val="22"/>
          <w:lang w:val="el-GR"/>
        </w:rPr>
        <w:t xml:space="preserve">ανήλθε στα 22,585 </w:t>
      </w:r>
      <w:r w:rsidRPr="003140B3">
        <w:rPr>
          <w:rFonts w:asciiTheme="minorHAnsi" w:hAnsiTheme="minorHAnsi" w:cs="Arial"/>
          <w:b w:val="0"/>
          <w:bCs w:val="0"/>
          <w:color w:val="auto"/>
          <w:sz w:val="22"/>
          <w:szCs w:val="22"/>
          <w:lang w:val="el-GR"/>
        </w:rPr>
        <w:t xml:space="preserve">άτομα. Σε σχέση με τον ίδιο μήνα πέρσι, ο αριθμός των ανέργων αντρών μειώθηκε κατά </w:t>
      </w:r>
      <w:r>
        <w:rPr>
          <w:rFonts w:asciiTheme="minorHAnsi" w:hAnsiTheme="minorHAnsi" w:cs="Arial"/>
          <w:b w:val="0"/>
          <w:bCs w:val="0"/>
          <w:color w:val="auto"/>
          <w:sz w:val="22"/>
          <w:szCs w:val="22"/>
          <w:lang w:val="el-GR"/>
        </w:rPr>
        <w:t xml:space="preserve">2,531 </w:t>
      </w:r>
      <w:r w:rsidRPr="003140B3">
        <w:rPr>
          <w:rFonts w:asciiTheme="minorHAnsi" w:hAnsiTheme="minorHAnsi" w:cs="Arial"/>
          <w:b w:val="0"/>
          <w:bCs w:val="0"/>
          <w:color w:val="auto"/>
          <w:sz w:val="22"/>
          <w:szCs w:val="22"/>
          <w:lang w:val="el-GR"/>
        </w:rPr>
        <w:t>άτομα</w:t>
      </w:r>
      <w:r>
        <w:rPr>
          <w:rFonts w:asciiTheme="minorHAnsi" w:hAnsiTheme="minorHAnsi" w:cs="Arial"/>
          <w:b w:val="0"/>
          <w:bCs w:val="0"/>
          <w:color w:val="auto"/>
          <w:sz w:val="22"/>
          <w:szCs w:val="22"/>
          <w:lang w:val="el-GR"/>
        </w:rPr>
        <w:t xml:space="preserve"> ή 10%</w:t>
      </w:r>
      <w:r w:rsidRPr="003140B3">
        <w:rPr>
          <w:rFonts w:asciiTheme="minorHAnsi" w:hAnsiTheme="minorHAnsi" w:cs="Arial"/>
          <w:b w:val="0"/>
          <w:bCs w:val="0"/>
          <w:color w:val="auto"/>
          <w:sz w:val="22"/>
          <w:szCs w:val="22"/>
          <w:lang w:val="el-GR"/>
        </w:rPr>
        <w:t xml:space="preserve"> και των γυναικών μειώθηκε κατά </w:t>
      </w:r>
      <w:r>
        <w:rPr>
          <w:rFonts w:asciiTheme="minorHAnsi" w:hAnsiTheme="minorHAnsi" w:cs="Arial"/>
          <w:b w:val="0"/>
          <w:bCs w:val="0"/>
          <w:color w:val="auto"/>
          <w:sz w:val="22"/>
          <w:szCs w:val="22"/>
          <w:lang w:val="el-GR"/>
        </w:rPr>
        <w:t>1,539</w:t>
      </w:r>
      <w:r w:rsidRPr="003140B3">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ή 6%</w:t>
      </w:r>
      <w:r w:rsidRPr="003140B3">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 xml:space="preserve"> </w:t>
      </w:r>
      <w:r w:rsidR="00E44498" w:rsidRPr="00031613">
        <w:rPr>
          <w:rFonts w:asciiTheme="minorHAnsi" w:hAnsiTheme="minorHAns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p>
    <w:p w:rsidR="00E44498" w:rsidRDefault="00E44498" w:rsidP="00E44498">
      <w:pPr>
        <w:pStyle w:val="ListParagraph"/>
        <w:spacing w:line="276" w:lineRule="auto"/>
        <w:ind w:left="360"/>
        <w:jc w:val="both"/>
        <w:rPr>
          <w:rFonts w:asciiTheme="minorHAnsi" w:hAnsiTheme="minorHAnsi" w:cs="Arial"/>
          <w:b w:val="0"/>
          <w:color w:val="auto"/>
          <w:sz w:val="22"/>
          <w:szCs w:val="22"/>
          <w:lang w:val="el-GR"/>
        </w:rPr>
      </w:pPr>
    </w:p>
    <w:p w:rsidR="00E44498" w:rsidRPr="00F75C84" w:rsidRDefault="00031613" w:rsidP="00E44498">
      <w:pPr>
        <w:pStyle w:val="ListParagraph"/>
        <w:spacing w:line="276" w:lineRule="auto"/>
        <w:ind w:left="360"/>
        <w:jc w:val="center"/>
        <w:rPr>
          <w:rFonts w:asciiTheme="minorHAnsi" w:hAnsiTheme="minorHAnsi" w:cs="Arial"/>
          <w:b w:val="0"/>
          <w:color w:val="auto"/>
          <w:sz w:val="22"/>
          <w:szCs w:val="22"/>
          <w:lang w:val="el-GR"/>
        </w:rPr>
      </w:pPr>
      <w:r>
        <w:rPr>
          <w:noProof/>
          <w:lang w:val="el-GR" w:eastAsia="el-GR"/>
        </w:rPr>
        <w:drawing>
          <wp:inline distT="0" distB="0" distL="0" distR="0" wp14:anchorId="16E5E9B4" wp14:editId="0D435C5C">
            <wp:extent cx="5210175" cy="30670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4498" w:rsidRPr="00E44498" w:rsidRDefault="00E44498" w:rsidP="00E44498">
      <w:pPr>
        <w:pStyle w:val="ListParagraph"/>
        <w:spacing w:line="276" w:lineRule="auto"/>
        <w:ind w:left="360"/>
        <w:jc w:val="center"/>
        <w:rPr>
          <w:rFonts w:asciiTheme="minorHAnsi" w:hAnsiTheme="minorHAnsi" w:cs="Arial"/>
          <w:b w:val="0"/>
          <w:color w:val="auto"/>
          <w:sz w:val="16"/>
          <w:szCs w:val="16"/>
          <w:lang w:val="el-GR"/>
        </w:rPr>
      </w:pPr>
    </w:p>
    <w:p w:rsidR="00E44498" w:rsidRPr="00210181" w:rsidRDefault="00E44498" w:rsidP="00E44498">
      <w:pPr>
        <w:pStyle w:val="ListParagraph"/>
        <w:spacing w:line="276" w:lineRule="auto"/>
        <w:ind w:left="360"/>
        <w:jc w:val="center"/>
        <w:rPr>
          <w:rFonts w:asciiTheme="minorHAnsi" w:hAnsiTheme="minorHAnsi" w:cs="Arial"/>
          <w:b w:val="0"/>
          <w:color w:val="auto"/>
          <w:sz w:val="12"/>
          <w:szCs w:val="12"/>
          <w:lang w:val="el-GR"/>
        </w:rPr>
      </w:pPr>
    </w:p>
    <w:p w:rsidR="00E44498" w:rsidRPr="00210181" w:rsidRDefault="00E44498" w:rsidP="00E44498">
      <w:pPr>
        <w:pStyle w:val="ListParagraph"/>
        <w:spacing w:line="276" w:lineRule="auto"/>
        <w:ind w:left="0"/>
        <w:rPr>
          <w:rFonts w:asciiTheme="minorHAnsi" w:hAnsiTheme="minorHAnsi" w:cs="Arial"/>
          <w:b w:val="0"/>
          <w:color w:val="auto"/>
          <w:sz w:val="4"/>
          <w:szCs w:val="4"/>
          <w:lang w:val="el-GR"/>
        </w:rPr>
      </w:pPr>
    </w:p>
    <w:p w:rsidR="00031613" w:rsidRPr="00031613" w:rsidRDefault="00031613" w:rsidP="00031613">
      <w:pPr>
        <w:numPr>
          <w:ilvl w:val="0"/>
          <w:numId w:val="1"/>
        </w:numPr>
        <w:spacing w:after="200" w:line="276" w:lineRule="auto"/>
        <w:jc w:val="both"/>
        <w:rPr>
          <w:rFonts w:ascii="Calibri" w:eastAsia="Calibri" w:hAnsi="Calibri" w:cs="Arial"/>
          <w:b w:val="0"/>
          <w:color w:val="auto"/>
          <w:sz w:val="22"/>
          <w:szCs w:val="22"/>
          <w:lang w:val="el-GR"/>
        </w:rPr>
      </w:pPr>
      <w:r w:rsidRPr="00031613">
        <w:rPr>
          <w:rFonts w:ascii="Calibri" w:eastAsia="Calibri" w:hAnsi="Calibri" w:cs="Arial"/>
          <w:b w:val="0"/>
          <w:bCs w:val="0"/>
          <w:color w:val="auto"/>
          <w:sz w:val="22"/>
          <w:szCs w:val="22"/>
          <w:lang w:val="el-GR"/>
        </w:rPr>
        <w:t xml:space="preserve">Η ανεργία σημείωσε μείωση σε όλες τις επαρχίες. Η μεγαλύτερη αριθμητική </w:t>
      </w:r>
      <w:r w:rsidRPr="00031613">
        <w:rPr>
          <w:rFonts w:ascii="Calibri" w:eastAsia="Calibri" w:hAnsi="Calibri" w:cs="Arial"/>
          <w:b w:val="0"/>
          <w:bCs w:val="0"/>
          <w:i/>
          <w:color w:val="auto"/>
          <w:sz w:val="22"/>
          <w:szCs w:val="22"/>
          <w:lang w:val="el-GR"/>
        </w:rPr>
        <w:t xml:space="preserve">μείωση </w:t>
      </w:r>
      <w:r w:rsidRPr="00031613">
        <w:rPr>
          <w:rFonts w:ascii="Calibri" w:eastAsia="Calibri" w:hAnsi="Calibri" w:cs="Arial"/>
          <w:b w:val="0"/>
          <w:bCs w:val="0"/>
          <w:color w:val="auto"/>
          <w:sz w:val="22"/>
          <w:szCs w:val="22"/>
          <w:lang w:val="el-GR"/>
        </w:rPr>
        <w:t>παρου</w:t>
      </w:r>
      <w:r w:rsidRPr="00031613">
        <w:rPr>
          <w:rFonts w:ascii="Calibri" w:eastAsia="Calibri" w:hAnsi="Calibri" w:cs="Arial"/>
          <w:b w:val="0"/>
          <w:bCs w:val="0"/>
          <w:color w:val="auto"/>
          <w:sz w:val="22"/>
          <w:szCs w:val="22"/>
          <w:lang w:val="el-GR"/>
        </w:rPr>
        <w:softHyphen/>
        <w:t xml:space="preserve">σιάστηκε στις </w:t>
      </w:r>
      <w:r w:rsidRPr="00031613">
        <w:rPr>
          <w:rFonts w:ascii="Calibri" w:eastAsia="Calibri" w:hAnsi="Calibri" w:cs="Arial"/>
          <w:color w:val="auto"/>
          <w:sz w:val="22"/>
          <w:szCs w:val="22"/>
          <w:lang w:val="el-GR"/>
        </w:rPr>
        <w:t>επαρχίες</w:t>
      </w:r>
      <w:r w:rsidRPr="00031613">
        <w:rPr>
          <w:rFonts w:ascii="Calibri" w:eastAsia="Calibri" w:hAnsi="Calibri" w:cs="Arial"/>
          <w:b w:val="0"/>
          <w:bCs w:val="0"/>
          <w:color w:val="auto"/>
          <w:sz w:val="22"/>
          <w:szCs w:val="22"/>
          <w:lang w:val="el-GR"/>
        </w:rPr>
        <w:t xml:space="preserve"> Λευκωσίας (κατά 1,913 άτομα) και Λάρνακας (κατά 975 άτομα), ενώ στις επαρχίες Λεμεσού, Πάφου και Αμμοχώστου η μείωση ήταν 891, 213 και 78 άτομα αντίστοιχα.</w:t>
      </w:r>
    </w:p>
    <w:p w:rsidR="00031613" w:rsidRPr="00031613" w:rsidRDefault="00031613" w:rsidP="00031613">
      <w:pPr>
        <w:rPr>
          <w:rFonts w:ascii="Calibri" w:hAnsi="Calibri" w:cs="Arial"/>
          <w:b w:val="0"/>
          <w:bCs w:val="0"/>
          <w:color w:val="auto"/>
          <w:sz w:val="22"/>
          <w:szCs w:val="22"/>
          <w:lang w:val="el-GR"/>
        </w:rPr>
      </w:pPr>
      <w:r w:rsidRPr="00031613">
        <w:rPr>
          <w:rFonts w:ascii="Calibri" w:hAnsi="Calibri" w:cs="Arial"/>
          <w:b w:val="0"/>
          <w:bCs w:val="0"/>
          <w:color w:val="auto"/>
          <w:sz w:val="22"/>
          <w:szCs w:val="22"/>
          <w:lang w:val="el-GR"/>
        </w:rPr>
        <w:br w:type="page"/>
      </w:r>
    </w:p>
    <w:p w:rsidR="00031613" w:rsidRPr="00031613" w:rsidRDefault="00031613" w:rsidP="00031613">
      <w:pPr>
        <w:spacing w:after="200" w:line="276" w:lineRule="auto"/>
        <w:ind w:left="360"/>
        <w:jc w:val="both"/>
        <w:rPr>
          <w:rFonts w:ascii="Calibri" w:hAnsi="Calibri" w:cs="Arial"/>
          <w:b w:val="0"/>
          <w:bCs w:val="0"/>
          <w:color w:val="auto"/>
          <w:sz w:val="22"/>
          <w:szCs w:val="22"/>
          <w:lang w:val="el-GR"/>
        </w:rPr>
      </w:pPr>
      <w:r w:rsidRPr="00031613">
        <w:rPr>
          <w:rFonts w:ascii="Calibri" w:hAnsi="Calibri" w:cs="Arial"/>
          <w:b w:val="0"/>
          <w:bCs w:val="0"/>
          <w:color w:val="auto"/>
          <w:sz w:val="22"/>
          <w:szCs w:val="22"/>
          <w:lang w:val="el-GR"/>
        </w:rPr>
        <w:lastRenderedPageBreak/>
        <w:t>Στο διάγραμμα που ακολουθεί παρουσιάζεται η διακύμανση του αριθμού των ανέργων κατά επαρχία τους τελευταίους 12 μήνες.</w:t>
      </w:r>
    </w:p>
    <w:p w:rsidR="00031613" w:rsidRPr="00031613" w:rsidRDefault="00031613" w:rsidP="00031613">
      <w:pPr>
        <w:spacing w:after="200" w:line="276" w:lineRule="auto"/>
        <w:ind w:left="360"/>
        <w:jc w:val="center"/>
        <w:rPr>
          <w:rFonts w:ascii="Calibri" w:hAnsi="Calibri" w:cs="Arial"/>
          <w:b w:val="0"/>
          <w:bCs w:val="0"/>
          <w:color w:val="auto"/>
          <w:sz w:val="22"/>
          <w:szCs w:val="22"/>
          <w:lang w:val="el-GR"/>
        </w:rPr>
      </w:pPr>
      <w:r w:rsidRPr="00031613">
        <w:rPr>
          <w:b w:val="0"/>
          <w:bCs w:val="0"/>
          <w:noProof/>
          <w:color w:val="auto"/>
          <w:lang w:val="el-GR" w:eastAsia="el-GR"/>
        </w:rPr>
        <w:drawing>
          <wp:inline distT="0" distB="0" distL="0" distR="0" wp14:anchorId="70578E53" wp14:editId="69FC0AEC">
            <wp:extent cx="5004619" cy="3087329"/>
            <wp:effectExtent l="0" t="0" r="24765"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1613" w:rsidRPr="00031613" w:rsidRDefault="00031613" w:rsidP="00031613">
      <w:pPr>
        <w:numPr>
          <w:ilvl w:val="0"/>
          <w:numId w:val="1"/>
        </w:numPr>
        <w:spacing w:after="200" w:line="276" w:lineRule="auto"/>
        <w:jc w:val="both"/>
        <w:rPr>
          <w:rFonts w:ascii="Calibri" w:eastAsia="Calibri" w:hAnsi="Calibri" w:cs="Arial"/>
          <w:b w:val="0"/>
          <w:color w:val="auto"/>
          <w:sz w:val="22"/>
          <w:szCs w:val="22"/>
          <w:lang w:val="el-GR"/>
        </w:rPr>
      </w:pPr>
      <w:r w:rsidRPr="00031613">
        <w:rPr>
          <w:rFonts w:ascii="Calibri" w:eastAsia="Calibri" w:hAnsi="Calibri" w:cs="Arial"/>
          <w:b w:val="0"/>
          <w:bCs w:val="0"/>
          <w:color w:val="auto"/>
          <w:spacing w:val="2"/>
          <w:sz w:val="22"/>
          <w:szCs w:val="22"/>
          <w:lang w:val="el-GR"/>
        </w:rPr>
        <w:t xml:space="preserve">Οι μεγαλύτερες αριθμητικές μειώσεις κατά </w:t>
      </w:r>
      <w:r w:rsidRPr="00031613">
        <w:rPr>
          <w:rFonts w:ascii="Calibri" w:eastAsia="Calibri" w:hAnsi="Calibri" w:cs="Arial"/>
          <w:color w:val="auto"/>
          <w:spacing w:val="2"/>
          <w:sz w:val="22"/>
          <w:szCs w:val="22"/>
          <w:lang w:val="el-GR"/>
        </w:rPr>
        <w:t>τομέα οικονομικής δραστηριό</w:t>
      </w:r>
      <w:r w:rsidRPr="00031613">
        <w:rPr>
          <w:rFonts w:ascii="Calibri" w:eastAsia="Calibri" w:hAnsi="Calibri" w:cs="Arial"/>
          <w:color w:val="auto"/>
          <w:spacing w:val="2"/>
          <w:sz w:val="22"/>
          <w:szCs w:val="22"/>
          <w:lang w:val="el-GR"/>
        </w:rPr>
        <w:softHyphen/>
        <w:t>τητα</w:t>
      </w:r>
      <w:r w:rsidRPr="00031613">
        <w:rPr>
          <w:rFonts w:ascii="Calibri" w:eastAsia="Calibri" w:hAnsi="Calibri" w:cs="Arial"/>
          <w:bCs w:val="0"/>
          <w:color w:val="auto"/>
          <w:spacing w:val="2"/>
          <w:sz w:val="22"/>
          <w:szCs w:val="22"/>
          <w:lang w:val="el-GR"/>
        </w:rPr>
        <w:t>ς</w:t>
      </w:r>
      <w:r w:rsidRPr="00031613">
        <w:rPr>
          <w:rFonts w:ascii="Calibri" w:eastAsia="Calibri" w:hAnsi="Calibri" w:cs="Arial"/>
          <w:b w:val="0"/>
          <w:bCs w:val="0"/>
          <w:color w:val="auto"/>
          <w:sz w:val="22"/>
          <w:szCs w:val="22"/>
          <w:lang w:val="el-GR"/>
        </w:rPr>
        <w:t xml:space="preserve"> σε σύγκριση με τον ίδιο μήνα του 2015 παρουσιάστηκαν στον τομέα των κατασκευών (κατά 1,170 άτομα), στον τομέα της δημόσιας διοίκησης (κατά 1,009 άτομα), στον τομέα της μεταποίησης (κατά 683 άτομα),   στον τομέα του εμπορίου (κατά 594 άτομα) και στον τομέα τραπεζών (κατά 398 άτομα), ενώ η μεγαλύτερη αύξηση παρουσιάστηκε στον τομέα των νεοεισερχομένων (κατά 245 άτομα) και στον τομέα μεταφορών (κατά 183 άτομα).</w:t>
      </w:r>
    </w:p>
    <w:p w:rsidR="00031613" w:rsidRPr="00031613" w:rsidRDefault="00031613" w:rsidP="00031613">
      <w:pPr>
        <w:spacing w:after="200" w:line="276" w:lineRule="auto"/>
        <w:ind w:left="360"/>
        <w:jc w:val="both"/>
        <w:rPr>
          <w:rFonts w:ascii="Calibri" w:hAnsi="Calibri" w:cs="Arial"/>
          <w:b w:val="0"/>
          <w:bCs w:val="0"/>
          <w:color w:val="auto"/>
          <w:sz w:val="22"/>
          <w:szCs w:val="22"/>
          <w:lang w:val="el-GR"/>
        </w:rPr>
      </w:pPr>
      <w:r w:rsidRPr="00031613">
        <w:rPr>
          <w:rFonts w:ascii="Calibri" w:hAnsi="Calibri" w:cs="Arial"/>
          <w:b w:val="0"/>
          <w:bCs w:val="0"/>
          <w:color w:val="auto"/>
          <w:sz w:val="22"/>
          <w:szCs w:val="22"/>
          <w:lang w:val="el-GR"/>
        </w:rPr>
        <w:t>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p>
    <w:p w:rsidR="00031613" w:rsidRPr="00031613" w:rsidRDefault="00031613" w:rsidP="00031613">
      <w:pPr>
        <w:spacing w:after="200" w:line="276" w:lineRule="auto"/>
        <w:ind w:left="720"/>
        <w:jc w:val="center"/>
        <w:rPr>
          <w:rFonts w:ascii="Calibri" w:eastAsia="Calibri" w:hAnsi="Calibri" w:cs="Arial"/>
          <w:b w:val="0"/>
          <w:color w:val="FF0000"/>
          <w:sz w:val="22"/>
          <w:szCs w:val="22"/>
          <w:lang w:val="el-GR"/>
        </w:rPr>
      </w:pPr>
      <w:r w:rsidRPr="00031613">
        <w:rPr>
          <w:rFonts w:eastAsia="Calibri"/>
          <w:noProof/>
          <w:lang w:val="el-GR" w:eastAsia="el-GR"/>
        </w:rPr>
        <w:drawing>
          <wp:inline distT="0" distB="0" distL="0" distR="0" wp14:anchorId="053BFAD8" wp14:editId="6912F4A7">
            <wp:extent cx="5114925" cy="30861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1613" w:rsidRPr="00031613" w:rsidRDefault="00031613" w:rsidP="00031613">
      <w:pPr>
        <w:numPr>
          <w:ilvl w:val="0"/>
          <w:numId w:val="1"/>
        </w:numPr>
        <w:spacing w:after="200" w:line="276" w:lineRule="auto"/>
        <w:ind w:left="360"/>
        <w:jc w:val="both"/>
        <w:rPr>
          <w:rFonts w:ascii="Calibri" w:eastAsia="Calibri" w:hAnsi="Calibri" w:cs="Arial"/>
          <w:b w:val="0"/>
          <w:color w:val="auto"/>
          <w:sz w:val="22"/>
          <w:szCs w:val="22"/>
          <w:lang w:val="el-GR"/>
        </w:rPr>
      </w:pPr>
      <w:r w:rsidRPr="00031613">
        <w:rPr>
          <w:rFonts w:ascii="Calibri" w:eastAsia="Calibri" w:hAnsi="Calibri" w:cs="Arial"/>
          <w:b w:val="0"/>
          <w:bCs w:val="0"/>
          <w:color w:val="auto"/>
          <w:sz w:val="22"/>
          <w:szCs w:val="22"/>
          <w:lang w:val="el-GR"/>
        </w:rPr>
        <w:lastRenderedPageBreak/>
        <w:t xml:space="preserve">Όλες οι ηλικιακές ομάδες παρουσίασαν μείωση ανεργίας με εξαίρεση την </w:t>
      </w:r>
      <w:r w:rsidRPr="00031613">
        <w:rPr>
          <w:rFonts w:ascii="Calibri" w:eastAsia="Calibri" w:hAnsi="Calibri" w:cs="Arial"/>
          <w:color w:val="auto"/>
          <w:sz w:val="22"/>
          <w:szCs w:val="22"/>
          <w:lang w:val="el-GR"/>
        </w:rPr>
        <w:t xml:space="preserve">ηλικιακή ομάδα </w:t>
      </w:r>
      <w:r w:rsidRPr="00031613">
        <w:rPr>
          <w:rFonts w:ascii="Calibri" w:eastAsia="Calibri" w:hAnsi="Calibri" w:cs="Arial"/>
          <w:b w:val="0"/>
          <w:bCs w:val="0"/>
          <w:color w:val="auto"/>
          <w:sz w:val="22"/>
          <w:szCs w:val="22"/>
          <w:lang w:val="el-GR"/>
        </w:rPr>
        <w:t>65 ετών και άνω, η οποία παρουσίασε οριακή αύξηση 6 ατόμων. Οι μεγαλύτερες μειώσεις παρουσιάστηκαν στις ηλικιακές ομάδες 50-59 ετών (μείωση κατά 1,290 άτομα), στην ηλικιακή ομάδα 25-29 ετών (μείωση κατά 942 άτομα), στην ηλικιακή ομάδα 40-49 ετών (μείωση κατά 689 άτομα), και στην ηλικιακή ομάδα 15-24 ετών (μείωση κατά 635 άτομα).</w:t>
      </w:r>
      <w:r w:rsidRPr="00031613">
        <w:rPr>
          <w:rFonts w:ascii="Calibri" w:eastAsia="Calibri" w:hAnsi="Calibri" w:cs="Arial"/>
          <w:color w:val="auto"/>
          <w:sz w:val="22"/>
          <w:szCs w:val="22"/>
          <w:lang w:val="el-GR"/>
        </w:rPr>
        <w:t xml:space="preserve"> </w:t>
      </w:r>
      <w:r w:rsidRPr="00031613">
        <w:rPr>
          <w:rFonts w:ascii="Calibri" w:eastAsia="Calibri" w:hAnsi="Calibri" w:cs="Arial"/>
          <w:b w:val="0"/>
          <w:color w:val="auto"/>
          <w:sz w:val="22"/>
          <w:szCs w:val="22"/>
          <w:lang w:val="el-GR"/>
        </w:rPr>
        <w:t>Στο διάγραμμα που ακολουθεί παρουσιάζεται η διακύμανση του αριθμού των ανέργων κατά ηλικιακή ομάδα τους τελευταίους 12 μήνες.</w:t>
      </w:r>
    </w:p>
    <w:p w:rsidR="00031613" w:rsidRPr="00031613" w:rsidRDefault="00031613" w:rsidP="00031613">
      <w:pPr>
        <w:spacing w:after="200" w:line="276" w:lineRule="auto"/>
        <w:ind w:left="360"/>
        <w:jc w:val="center"/>
        <w:rPr>
          <w:rFonts w:ascii="Calibri" w:eastAsia="Calibri" w:hAnsi="Calibri" w:cs="Arial"/>
          <w:b w:val="0"/>
          <w:color w:val="auto"/>
          <w:sz w:val="22"/>
          <w:szCs w:val="22"/>
          <w:lang w:val="el-GR"/>
        </w:rPr>
      </w:pPr>
      <w:r w:rsidRPr="00031613">
        <w:rPr>
          <w:rFonts w:eastAsia="Calibri"/>
          <w:noProof/>
          <w:lang w:val="el-GR" w:eastAsia="el-GR"/>
        </w:rPr>
        <w:drawing>
          <wp:inline distT="0" distB="0" distL="0" distR="0" wp14:anchorId="0BDCAD40" wp14:editId="2BEF1C76">
            <wp:extent cx="5105400" cy="27527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1613" w:rsidRPr="00031613" w:rsidRDefault="00031613" w:rsidP="00031613">
      <w:pPr>
        <w:numPr>
          <w:ilvl w:val="0"/>
          <w:numId w:val="1"/>
        </w:numPr>
        <w:spacing w:after="200" w:line="276" w:lineRule="auto"/>
        <w:ind w:left="360"/>
        <w:jc w:val="both"/>
        <w:rPr>
          <w:rFonts w:ascii="Calibri" w:eastAsia="Calibri" w:hAnsi="Calibri" w:cs="Arial"/>
          <w:color w:val="auto"/>
          <w:sz w:val="22"/>
          <w:szCs w:val="22"/>
          <w:lang w:val="el-GR"/>
        </w:rPr>
      </w:pPr>
      <w:r w:rsidRPr="00031613">
        <w:rPr>
          <w:rFonts w:ascii="Calibri" w:eastAsia="Calibri" w:hAnsi="Calibri" w:cs="Arial"/>
          <w:b w:val="0"/>
          <w:bCs w:val="0"/>
          <w:color w:val="auto"/>
          <w:sz w:val="22"/>
          <w:szCs w:val="22"/>
          <w:lang w:val="el-GR"/>
        </w:rPr>
        <w:t xml:space="preserve">Ο αριθμός των ανέργων που ήταν εγγεγραμμένοι στα γραφεία της ΔΥΑ για </w:t>
      </w:r>
      <w:r w:rsidRPr="00031613">
        <w:rPr>
          <w:rFonts w:ascii="Calibri" w:eastAsia="Calibri" w:hAnsi="Calibri" w:cs="Arial"/>
          <w:color w:val="auto"/>
          <w:sz w:val="22"/>
          <w:szCs w:val="22"/>
          <w:lang w:val="el-GR"/>
        </w:rPr>
        <w:t>περισσότερο από 6 μήνες</w:t>
      </w:r>
      <w:r w:rsidRPr="00031613">
        <w:rPr>
          <w:rFonts w:ascii="Calibri" w:eastAsia="Calibri" w:hAnsi="Calibri" w:cs="Arial"/>
          <w:b w:val="0"/>
          <w:bCs w:val="0"/>
          <w:color w:val="auto"/>
          <w:sz w:val="22"/>
          <w:szCs w:val="22"/>
          <w:lang w:val="el-GR"/>
        </w:rPr>
        <w:t xml:space="preserve"> έφτασε στα 18,649 άτομα (μείωση κατά 1,489 άτομα ή 7,4</w:t>
      </w:r>
      <w:r w:rsidRPr="00031613">
        <w:rPr>
          <w:rFonts w:ascii="Calibri" w:eastAsia="Calibri" w:hAnsi="Calibri" w:cs="Arial"/>
          <w:b w:val="0"/>
          <w:color w:val="auto"/>
          <w:sz w:val="22"/>
          <w:szCs w:val="22"/>
          <w:lang w:val="el-GR"/>
        </w:rPr>
        <w:t xml:space="preserve">% σε σχέση με τον ίδιο μήνα πέρσι) και αντιπροσωπεύει το 41% του συνόλου των εγγεγραμμένων ανέργων. Ο αριθμός των ανέργων που ήταν εγγεγραμμένοι στα γραφεία της ΔΥΑ για </w:t>
      </w:r>
      <w:r w:rsidRPr="00031613">
        <w:rPr>
          <w:rFonts w:ascii="Calibri" w:eastAsia="Calibri" w:hAnsi="Calibri" w:cs="Arial"/>
          <w:color w:val="auto"/>
          <w:sz w:val="22"/>
          <w:szCs w:val="22"/>
          <w:lang w:val="el-GR"/>
        </w:rPr>
        <w:t>περισσότερο από 12 μήνες</w:t>
      </w:r>
      <w:r w:rsidRPr="00031613">
        <w:rPr>
          <w:rFonts w:ascii="Calibri" w:eastAsia="Calibri" w:hAnsi="Calibri" w:cs="Arial"/>
          <w:b w:val="0"/>
          <w:color w:val="auto"/>
          <w:sz w:val="22"/>
          <w:szCs w:val="22"/>
          <w:lang w:val="el-GR"/>
        </w:rPr>
        <w:t xml:space="preserve"> έφτασε τα 12,225 άτομα (μείωση κατά 32 άτομα ή 0,3%) και αντιπροσωπεύει το 27% του συνόλου των εγγεγραμμένων ανέργων. Στο διάγραμμα που ακολουθεί παρουσιάζεται η διακύμανση του αριθμού των ανέργων κατά διάρκεια εγγραφής τους τελευταίους 12 μήνες.</w:t>
      </w:r>
    </w:p>
    <w:p w:rsidR="00031613" w:rsidRPr="00031613" w:rsidRDefault="00031613" w:rsidP="00031613">
      <w:pPr>
        <w:spacing w:after="200" w:line="276" w:lineRule="auto"/>
        <w:ind w:left="360"/>
        <w:jc w:val="center"/>
        <w:rPr>
          <w:rFonts w:ascii="Calibri" w:eastAsia="Calibri" w:hAnsi="Calibri" w:cs="Arial"/>
          <w:color w:val="auto"/>
          <w:sz w:val="22"/>
          <w:szCs w:val="22"/>
          <w:lang w:val="el-GR"/>
        </w:rPr>
      </w:pPr>
      <w:r w:rsidRPr="00031613">
        <w:rPr>
          <w:rFonts w:eastAsia="Calibri"/>
          <w:noProof/>
          <w:lang w:val="el-GR" w:eastAsia="el-GR"/>
        </w:rPr>
        <w:drawing>
          <wp:inline distT="0" distB="0" distL="0" distR="0" wp14:anchorId="0F2394CA" wp14:editId="630FCC84">
            <wp:extent cx="5153025" cy="285750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72BC" w:rsidRPr="00510723" w:rsidRDefault="002572BC" w:rsidP="000366F0">
      <w:pPr>
        <w:pStyle w:val="ListParagraph"/>
        <w:numPr>
          <w:ilvl w:val="0"/>
          <w:numId w:val="40"/>
        </w:numPr>
        <w:spacing w:line="276" w:lineRule="auto"/>
        <w:jc w:val="both"/>
        <w:rPr>
          <w:rFonts w:ascii="Arial" w:hAnsi="Arial" w:cs="Arial"/>
          <w:color w:val="auto"/>
          <w:sz w:val="20"/>
          <w:szCs w:val="20"/>
          <w:lang w:val="el-GR"/>
        </w:rPr>
      </w:pPr>
      <w:r w:rsidRPr="00510723">
        <w:rPr>
          <w:rFonts w:ascii="Calibri" w:hAnsi="Calibri" w:cs="Calibri"/>
          <w:color w:val="auto"/>
          <w:sz w:val="22"/>
          <w:szCs w:val="22"/>
          <w:lang w:val="el-GR"/>
        </w:rPr>
        <w:lastRenderedPageBreak/>
        <w:t>Μόρφωση:</w:t>
      </w:r>
      <w:r w:rsidR="00DE2D90" w:rsidRPr="00510723">
        <w:rPr>
          <w:rFonts w:ascii="Calibri" w:hAnsi="Calibri" w:cs="Calibri"/>
          <w:color w:val="auto"/>
          <w:sz w:val="22"/>
          <w:szCs w:val="22"/>
          <w:lang w:val="el-GR"/>
        </w:rPr>
        <w:t xml:space="preserve"> </w:t>
      </w:r>
      <w:r w:rsidR="00D24562" w:rsidRPr="00510723">
        <w:rPr>
          <w:rFonts w:ascii="Calibri" w:hAnsi="Calibri" w:cs="Calibri"/>
          <w:b w:val="0"/>
          <w:color w:val="auto"/>
          <w:sz w:val="22"/>
          <w:szCs w:val="22"/>
          <w:lang w:val="el-GR"/>
        </w:rPr>
        <w:t>Ο</w:t>
      </w:r>
      <w:r w:rsidR="00D24562" w:rsidRPr="00510723">
        <w:rPr>
          <w:rFonts w:ascii="Calibri" w:hAnsi="Calibri" w:cs="Calibri"/>
          <w:b w:val="0"/>
          <w:bCs w:val="0"/>
          <w:color w:val="auto"/>
          <w:sz w:val="22"/>
          <w:szCs w:val="22"/>
          <w:lang w:val="el-GR"/>
        </w:rPr>
        <w:t>ι μισοί από τους εγγεγραμμένους άνεργους είναι απόφοιτοι δευτεροβάθμιας γενικής ή τεχνικής εκπαίδευσης με ποσοστό</w:t>
      </w:r>
      <w:r w:rsidR="00F85E58" w:rsidRPr="00510723">
        <w:rPr>
          <w:rFonts w:ascii="Calibri" w:hAnsi="Calibri" w:cs="Calibri"/>
          <w:b w:val="0"/>
          <w:bCs w:val="0"/>
          <w:color w:val="auto"/>
          <w:sz w:val="22"/>
          <w:szCs w:val="22"/>
          <w:lang w:val="el-GR"/>
        </w:rPr>
        <w:t xml:space="preserve"> 51</w:t>
      </w:r>
      <w:r w:rsidR="00DE2D90" w:rsidRPr="00510723">
        <w:rPr>
          <w:rFonts w:ascii="Calibri" w:hAnsi="Calibri" w:cs="Calibri"/>
          <w:b w:val="0"/>
          <w:bCs w:val="0"/>
          <w:color w:val="auto"/>
          <w:sz w:val="22"/>
          <w:szCs w:val="22"/>
          <w:lang w:val="el-GR"/>
        </w:rPr>
        <w:t>%</w:t>
      </w:r>
      <w:r w:rsidRPr="00510723">
        <w:rPr>
          <w:rFonts w:ascii="Calibri" w:hAnsi="Calibri" w:cs="Calibri"/>
          <w:b w:val="0"/>
          <w:bCs w:val="0"/>
          <w:color w:val="auto"/>
          <w:sz w:val="22"/>
          <w:szCs w:val="22"/>
          <w:lang w:val="el-GR"/>
        </w:rPr>
        <w:t xml:space="preserve"> ή </w:t>
      </w:r>
      <w:r w:rsidR="000366F0" w:rsidRPr="00510723">
        <w:rPr>
          <w:rFonts w:ascii="Calibri" w:hAnsi="Calibri" w:cs="Calibri"/>
          <w:b w:val="0"/>
          <w:bCs w:val="0"/>
          <w:color w:val="auto"/>
          <w:sz w:val="22"/>
          <w:szCs w:val="22"/>
          <w:lang w:val="el-GR"/>
        </w:rPr>
        <w:t>2</w:t>
      </w:r>
      <w:r w:rsidR="00510723" w:rsidRPr="00510723">
        <w:rPr>
          <w:rFonts w:ascii="Calibri" w:hAnsi="Calibri" w:cs="Calibri"/>
          <w:b w:val="0"/>
          <w:bCs w:val="0"/>
          <w:color w:val="auto"/>
          <w:sz w:val="22"/>
          <w:szCs w:val="22"/>
          <w:lang w:val="el-GR"/>
        </w:rPr>
        <w:t>3,529</w:t>
      </w:r>
      <w:r w:rsidR="00DE2D90" w:rsidRPr="00510723">
        <w:rPr>
          <w:rFonts w:ascii="Arial" w:hAnsi="Arial" w:cs="Arial"/>
          <w:color w:val="auto"/>
          <w:sz w:val="20"/>
          <w:szCs w:val="20"/>
          <w:lang w:val="el-GR"/>
        </w:rPr>
        <w:t xml:space="preserve"> </w:t>
      </w:r>
      <w:r w:rsidRPr="00510723">
        <w:rPr>
          <w:rFonts w:ascii="Calibri" w:hAnsi="Calibri" w:cs="Calibri"/>
          <w:b w:val="0"/>
          <w:bCs w:val="0"/>
          <w:color w:val="auto"/>
          <w:sz w:val="22"/>
          <w:szCs w:val="22"/>
          <w:lang w:val="el-GR"/>
        </w:rPr>
        <w:t xml:space="preserve">άτομα, ακολουθούν οι απόφοιτοι τριτοβάθμιας εκπαίδευσης με </w:t>
      </w:r>
      <w:r w:rsidR="00F85E58" w:rsidRPr="00510723">
        <w:rPr>
          <w:rFonts w:ascii="Calibri" w:hAnsi="Calibri" w:cs="Calibri"/>
          <w:b w:val="0"/>
          <w:bCs w:val="0"/>
          <w:color w:val="auto"/>
          <w:sz w:val="22"/>
          <w:szCs w:val="22"/>
          <w:lang w:val="el-GR"/>
        </w:rPr>
        <w:t>25</w:t>
      </w:r>
      <w:r w:rsidRPr="00510723">
        <w:rPr>
          <w:rFonts w:ascii="Calibri" w:hAnsi="Calibri" w:cs="Calibri"/>
          <w:b w:val="0"/>
          <w:bCs w:val="0"/>
          <w:color w:val="auto"/>
          <w:sz w:val="22"/>
          <w:szCs w:val="22"/>
          <w:lang w:val="el-GR"/>
        </w:rPr>
        <w:t>% ή 1</w:t>
      </w:r>
      <w:r w:rsidR="00DE2D90" w:rsidRPr="00510723">
        <w:rPr>
          <w:rFonts w:ascii="Calibri" w:hAnsi="Calibri" w:cs="Calibri"/>
          <w:b w:val="0"/>
          <w:bCs w:val="0"/>
          <w:color w:val="auto"/>
          <w:sz w:val="22"/>
          <w:szCs w:val="22"/>
          <w:lang w:val="el-GR"/>
        </w:rPr>
        <w:t>1,</w:t>
      </w:r>
      <w:r w:rsidR="00510723" w:rsidRPr="00510723">
        <w:rPr>
          <w:rFonts w:ascii="Calibri" w:hAnsi="Calibri" w:cs="Calibri"/>
          <w:b w:val="0"/>
          <w:bCs w:val="0"/>
          <w:color w:val="auto"/>
          <w:sz w:val="22"/>
          <w:szCs w:val="22"/>
          <w:lang w:val="el-GR"/>
        </w:rPr>
        <w:t>4</w:t>
      </w:r>
      <w:r w:rsidR="00F85E58" w:rsidRPr="00510723">
        <w:rPr>
          <w:rFonts w:ascii="Calibri" w:hAnsi="Calibri" w:cs="Calibri"/>
          <w:b w:val="0"/>
          <w:bCs w:val="0"/>
          <w:color w:val="auto"/>
          <w:sz w:val="22"/>
          <w:szCs w:val="22"/>
          <w:lang w:val="el-GR"/>
        </w:rPr>
        <w:t>33</w:t>
      </w:r>
      <w:r w:rsidRPr="00510723">
        <w:rPr>
          <w:rFonts w:ascii="Calibri" w:hAnsi="Calibri" w:cs="Calibri"/>
          <w:b w:val="0"/>
          <w:bCs w:val="0"/>
          <w:color w:val="auto"/>
          <w:sz w:val="22"/>
          <w:szCs w:val="22"/>
          <w:lang w:val="el-GR"/>
        </w:rPr>
        <w:t xml:space="preserve"> άτομα</w:t>
      </w:r>
      <w:r w:rsidR="000366F0" w:rsidRPr="00510723">
        <w:rPr>
          <w:rFonts w:ascii="Calibri" w:hAnsi="Calibri" w:cs="Calibri"/>
          <w:b w:val="0"/>
          <w:bCs w:val="0"/>
          <w:color w:val="auto"/>
          <w:sz w:val="22"/>
          <w:szCs w:val="22"/>
          <w:lang w:val="el-GR"/>
        </w:rPr>
        <w:t xml:space="preserve"> και οι απόφοιτοι με</w:t>
      </w:r>
      <w:r w:rsidR="00DE2D90" w:rsidRPr="00510723">
        <w:rPr>
          <w:rFonts w:ascii="Calibri" w:hAnsi="Calibri" w:cs="Calibri"/>
          <w:b w:val="0"/>
          <w:bCs w:val="0"/>
          <w:color w:val="auto"/>
          <w:sz w:val="22"/>
          <w:szCs w:val="22"/>
          <w:lang w:val="el-GR"/>
        </w:rPr>
        <w:t xml:space="preserve"> πρωτοβάθμια εκπαίδευση με ποσοστό 2</w:t>
      </w:r>
      <w:r w:rsidR="00510723" w:rsidRPr="00510723">
        <w:rPr>
          <w:rFonts w:ascii="Calibri" w:hAnsi="Calibri" w:cs="Calibri"/>
          <w:b w:val="0"/>
          <w:bCs w:val="0"/>
          <w:color w:val="auto"/>
          <w:sz w:val="22"/>
          <w:szCs w:val="22"/>
          <w:lang w:val="el-GR"/>
        </w:rPr>
        <w:t>4</w:t>
      </w:r>
      <w:r w:rsidR="00DE2D90" w:rsidRPr="00510723">
        <w:rPr>
          <w:rFonts w:ascii="Calibri" w:hAnsi="Calibri" w:cs="Calibri"/>
          <w:b w:val="0"/>
          <w:bCs w:val="0"/>
          <w:color w:val="auto"/>
          <w:sz w:val="22"/>
          <w:szCs w:val="22"/>
          <w:lang w:val="el-GR"/>
        </w:rPr>
        <w:t xml:space="preserve">% ή </w:t>
      </w:r>
      <w:r w:rsidR="00F85E58" w:rsidRPr="00510723">
        <w:rPr>
          <w:rFonts w:ascii="Calibri" w:hAnsi="Calibri" w:cs="Calibri"/>
          <w:b w:val="0"/>
          <w:bCs w:val="0"/>
          <w:color w:val="auto"/>
          <w:sz w:val="22"/>
          <w:szCs w:val="22"/>
          <w:lang w:val="el-GR"/>
        </w:rPr>
        <w:t>1</w:t>
      </w:r>
      <w:r w:rsidR="00510723" w:rsidRPr="00510723">
        <w:rPr>
          <w:rFonts w:ascii="Calibri" w:hAnsi="Calibri" w:cs="Calibri"/>
          <w:b w:val="0"/>
          <w:bCs w:val="0"/>
          <w:color w:val="auto"/>
          <w:sz w:val="22"/>
          <w:szCs w:val="22"/>
          <w:lang w:val="el-GR"/>
        </w:rPr>
        <w:t>1,007</w:t>
      </w:r>
      <w:r w:rsidR="00DE2D90" w:rsidRPr="00510723">
        <w:rPr>
          <w:rFonts w:ascii="Calibri" w:hAnsi="Calibri" w:cs="Calibri"/>
          <w:b w:val="0"/>
          <w:bCs w:val="0"/>
          <w:color w:val="auto"/>
          <w:sz w:val="22"/>
          <w:szCs w:val="22"/>
          <w:lang w:val="el-GR"/>
        </w:rPr>
        <w:t xml:space="preserve"> άτομα</w:t>
      </w:r>
      <w:r w:rsidRPr="00510723">
        <w:rPr>
          <w:rFonts w:ascii="Calibri" w:hAnsi="Calibri" w:cs="Calibri"/>
          <w:b w:val="0"/>
          <w:bCs w:val="0"/>
          <w:color w:val="auto"/>
          <w:sz w:val="22"/>
          <w:szCs w:val="22"/>
          <w:lang w:val="el-GR"/>
        </w:rPr>
        <w:t>.</w:t>
      </w:r>
      <w:r w:rsidR="00C56BE7" w:rsidRPr="00510723">
        <w:rPr>
          <w:rFonts w:ascii="Calibri" w:hAnsi="Calibri" w:cs="Calibri"/>
          <w:b w:val="0"/>
          <w:bCs w:val="0"/>
          <w:color w:val="auto"/>
          <w:sz w:val="22"/>
          <w:szCs w:val="22"/>
          <w:lang w:val="el-GR"/>
        </w:rPr>
        <w:t xml:space="preserve"> </w:t>
      </w:r>
      <w:r w:rsidRPr="00510723">
        <w:rPr>
          <w:rFonts w:ascii="Calibri" w:hAnsi="Calibri" w:cs="Calibri"/>
          <w:b w:val="0"/>
          <w:bCs w:val="0"/>
          <w:color w:val="auto"/>
          <w:sz w:val="22"/>
          <w:szCs w:val="22"/>
          <w:lang w:val="el-GR"/>
        </w:rPr>
        <w:t>Στο διάγραμμα που ακολουθεί παρουσιάζεται η διακύμανση του αριθμού των ανέργων κατά μορφωτικό επίπεδο τους τελευταίους 12 μήνες.</w:t>
      </w:r>
    </w:p>
    <w:p w:rsidR="00510723" w:rsidRPr="00031613" w:rsidRDefault="00510723" w:rsidP="00510723">
      <w:pPr>
        <w:pStyle w:val="ListParagraph"/>
        <w:spacing w:line="276" w:lineRule="auto"/>
        <w:jc w:val="both"/>
        <w:rPr>
          <w:rFonts w:ascii="Arial" w:hAnsi="Arial" w:cs="Arial"/>
          <w:color w:val="FF0000"/>
          <w:sz w:val="20"/>
          <w:szCs w:val="20"/>
          <w:lang w:val="el-GR"/>
        </w:rPr>
      </w:pPr>
    </w:p>
    <w:p w:rsidR="004B00B2" w:rsidRPr="001A306D" w:rsidRDefault="00031613" w:rsidP="004B00B2">
      <w:pPr>
        <w:pStyle w:val="ListParagraph"/>
        <w:spacing w:line="276" w:lineRule="auto"/>
        <w:jc w:val="both"/>
        <w:rPr>
          <w:rFonts w:ascii="Calibri" w:hAnsi="Calibri" w:cs="Calibri"/>
          <w:b w:val="0"/>
          <w:bCs w:val="0"/>
          <w:color w:val="auto"/>
          <w:sz w:val="22"/>
          <w:szCs w:val="22"/>
          <w:lang w:val="el-GR"/>
        </w:rPr>
      </w:pPr>
      <w:r>
        <w:rPr>
          <w:noProof/>
          <w:lang w:val="el-GR" w:eastAsia="el-GR"/>
        </w:rPr>
        <w:drawing>
          <wp:inline distT="0" distB="0" distL="0" distR="0" wp14:anchorId="71B4E3B5" wp14:editId="2BD9E9DD">
            <wp:extent cx="5191125" cy="28575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66CD" w:rsidRDefault="002066CD" w:rsidP="002066CD">
      <w:pPr>
        <w:pStyle w:val="ListParagraph"/>
        <w:spacing w:line="276" w:lineRule="auto"/>
        <w:jc w:val="both"/>
        <w:rPr>
          <w:rFonts w:ascii="Calibri" w:hAnsi="Calibri" w:cs="Calibri"/>
          <w:b w:val="0"/>
          <w:bCs w:val="0"/>
          <w:color w:val="auto"/>
          <w:sz w:val="16"/>
          <w:szCs w:val="16"/>
          <w:lang w:val="el-GR"/>
        </w:rPr>
      </w:pPr>
    </w:p>
    <w:p w:rsidR="002572BC" w:rsidRPr="001A306D" w:rsidRDefault="002572BC" w:rsidP="00F33992">
      <w:pPr>
        <w:pStyle w:val="ListParagraph"/>
        <w:spacing w:line="276" w:lineRule="auto"/>
        <w:ind w:left="360"/>
        <w:jc w:val="both"/>
        <w:rPr>
          <w:rFonts w:ascii="Calibri" w:hAnsi="Calibri" w:cs="Calibri"/>
          <w:b w:val="0"/>
          <w:bCs w:val="0"/>
          <w:color w:val="auto"/>
          <w:sz w:val="4"/>
          <w:szCs w:val="4"/>
          <w:lang w:val="el-GR"/>
        </w:rPr>
      </w:pPr>
    </w:p>
    <w:p w:rsidR="002572BC" w:rsidRPr="00031613" w:rsidRDefault="00031613" w:rsidP="00031613">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E44498">
        <w:rPr>
          <w:rFonts w:ascii="Calibri" w:hAnsi="Calibri" w:cs="Calibri"/>
          <w:color w:val="auto"/>
          <w:sz w:val="22"/>
          <w:szCs w:val="22"/>
          <w:lang w:val="el-GR"/>
        </w:rPr>
        <w:t>Εθνοτική καταγωγή</w:t>
      </w:r>
      <w:r w:rsidRPr="00E44498">
        <w:rPr>
          <w:rFonts w:ascii="Calibri" w:hAnsi="Calibri" w:cs="Calibri"/>
          <w:b w:val="0"/>
          <w:bCs w:val="0"/>
          <w:color w:val="auto"/>
          <w:sz w:val="22"/>
          <w:szCs w:val="22"/>
          <w:lang w:val="el-GR"/>
        </w:rPr>
        <w:t xml:space="preserve">: </w:t>
      </w:r>
      <w:r>
        <w:rPr>
          <w:rFonts w:ascii="Calibri" w:hAnsi="Calibri" w:cs="Calibri"/>
          <w:b w:val="0"/>
          <w:bCs w:val="0"/>
          <w:color w:val="auto"/>
          <w:sz w:val="22"/>
          <w:szCs w:val="22"/>
          <w:lang w:val="el-GR"/>
        </w:rPr>
        <w:t xml:space="preserve"> </w:t>
      </w:r>
      <w:r w:rsidRPr="00FB3E14">
        <w:rPr>
          <w:rFonts w:asciiTheme="minorHAnsi" w:hAnsiTheme="minorHAnsi" w:cs="Arial"/>
          <w:b w:val="0"/>
          <w:bCs w:val="0"/>
          <w:color w:val="auto"/>
          <w:sz w:val="22"/>
          <w:szCs w:val="22"/>
          <w:lang w:val="el-GR"/>
        </w:rPr>
        <w:t xml:space="preserve">Από το σύνολο των ανέργων οι </w:t>
      </w:r>
      <w:r>
        <w:rPr>
          <w:rFonts w:asciiTheme="minorHAnsi" w:hAnsiTheme="minorHAnsi" w:cs="Arial"/>
          <w:b w:val="0"/>
          <w:bCs w:val="0"/>
          <w:color w:val="auto"/>
          <w:sz w:val="22"/>
          <w:szCs w:val="22"/>
          <w:lang w:val="el-GR"/>
        </w:rPr>
        <w:t>7,187</w:t>
      </w:r>
      <w:r w:rsidRPr="00FB3E14">
        <w:rPr>
          <w:rFonts w:asciiTheme="minorHAnsi" w:hAnsiTheme="minorHAnsi" w:cs="Arial"/>
          <w:b w:val="0"/>
          <w:bCs w:val="0"/>
          <w:color w:val="auto"/>
          <w:sz w:val="22"/>
          <w:szCs w:val="22"/>
          <w:lang w:val="el-GR"/>
        </w:rPr>
        <w:t xml:space="preserve"> (1</w:t>
      </w:r>
      <w:r>
        <w:rPr>
          <w:rFonts w:asciiTheme="minorHAnsi" w:hAnsiTheme="minorHAnsi" w:cs="Arial"/>
          <w:b w:val="0"/>
          <w:bCs w:val="0"/>
          <w:color w:val="auto"/>
          <w:sz w:val="22"/>
          <w:szCs w:val="22"/>
          <w:lang w:val="el-GR"/>
        </w:rPr>
        <w:t>6</w:t>
      </w:r>
      <w:r w:rsidRPr="00FB3E14">
        <w:rPr>
          <w:rFonts w:asciiTheme="minorHAnsi" w:hAnsiTheme="minorHAnsi" w:cs="Arial"/>
          <w:b w:val="0"/>
          <w:bCs w:val="0"/>
          <w:color w:val="auto"/>
          <w:sz w:val="22"/>
          <w:szCs w:val="22"/>
          <w:lang w:val="el-GR"/>
        </w:rPr>
        <w:t xml:space="preserve">%) ήταν </w:t>
      </w:r>
      <w:r w:rsidRPr="00FB3E14">
        <w:rPr>
          <w:rFonts w:asciiTheme="minorHAnsi" w:hAnsiTheme="minorHAnsi" w:cs="Arial"/>
          <w:b w:val="0"/>
          <w:color w:val="auto"/>
          <w:sz w:val="22"/>
          <w:szCs w:val="22"/>
          <w:lang w:val="el-GR"/>
        </w:rPr>
        <w:t>Ευρωπαίοι πολίτες</w:t>
      </w:r>
      <w:r w:rsidRPr="00FB3E14">
        <w:rPr>
          <w:rFonts w:asciiTheme="minorHAnsi" w:hAnsiTheme="minorHAnsi" w:cs="Arial"/>
          <w:b w:val="0"/>
          <w:bCs w:val="0"/>
          <w:color w:val="auto"/>
          <w:sz w:val="22"/>
          <w:szCs w:val="22"/>
          <w:lang w:val="el-GR"/>
        </w:rPr>
        <w:t>. Ο αντίστοιχος αριθμός τον ίδιο μήνα πέρσι ήταν 7,</w:t>
      </w:r>
      <w:r>
        <w:rPr>
          <w:rFonts w:asciiTheme="minorHAnsi" w:hAnsiTheme="minorHAnsi" w:cs="Arial"/>
          <w:b w:val="0"/>
          <w:bCs w:val="0"/>
          <w:color w:val="auto"/>
          <w:sz w:val="22"/>
          <w:szCs w:val="22"/>
          <w:lang w:val="el-GR"/>
        </w:rPr>
        <w:t>601</w:t>
      </w:r>
      <w:r w:rsidRPr="00FB3E14">
        <w:rPr>
          <w:rFonts w:asciiTheme="minorHAnsi" w:hAnsiTheme="minorHAnsi" w:cs="Arial"/>
          <w:b w:val="0"/>
          <w:bCs w:val="0"/>
          <w:color w:val="auto"/>
          <w:sz w:val="22"/>
          <w:szCs w:val="22"/>
          <w:lang w:val="el-GR"/>
        </w:rPr>
        <w:t xml:space="preserve"> ή 15% του συνόλου των ανέργων. Οι </w:t>
      </w:r>
      <w:r w:rsidRPr="00FB3E14">
        <w:rPr>
          <w:rFonts w:asciiTheme="minorHAnsi" w:hAnsiTheme="minorHAnsi" w:cs="Arial"/>
          <w:bCs w:val="0"/>
          <w:color w:val="auto"/>
          <w:sz w:val="22"/>
          <w:szCs w:val="22"/>
          <w:lang w:val="el-GR"/>
        </w:rPr>
        <w:t xml:space="preserve">Ελληνοκύπριοι </w:t>
      </w:r>
      <w:r w:rsidRPr="00FB3E14">
        <w:rPr>
          <w:rFonts w:asciiTheme="minorHAnsi" w:hAnsiTheme="minorHAnsi" w:cs="Arial"/>
          <w:b w:val="0"/>
          <w:bCs w:val="0"/>
          <w:color w:val="auto"/>
          <w:sz w:val="22"/>
          <w:szCs w:val="22"/>
          <w:lang w:val="el-GR"/>
        </w:rPr>
        <w:t xml:space="preserve">αποτελούν την </w:t>
      </w:r>
      <w:r w:rsidRPr="00FB3E14">
        <w:rPr>
          <w:rFonts w:asciiTheme="minorHAnsi" w:hAnsiTheme="minorHAnsi" w:cs="Arial"/>
          <w:bCs w:val="0"/>
          <w:color w:val="auto"/>
          <w:sz w:val="22"/>
          <w:szCs w:val="22"/>
          <w:lang w:val="el-GR"/>
        </w:rPr>
        <w:t xml:space="preserve">πλειοψηφία </w:t>
      </w:r>
      <w:r w:rsidRPr="00FB3E14">
        <w:rPr>
          <w:rFonts w:asciiTheme="minorHAnsi" w:hAnsiTheme="minorHAnsi" w:cs="Arial"/>
          <w:b w:val="0"/>
          <w:bCs w:val="0"/>
          <w:color w:val="auto"/>
          <w:sz w:val="22"/>
          <w:szCs w:val="22"/>
          <w:lang w:val="el-GR"/>
        </w:rPr>
        <w:t>του συνόλου των ανέργων με</w:t>
      </w:r>
      <w:r>
        <w:rPr>
          <w:rFonts w:asciiTheme="minorHAnsi" w:hAnsiTheme="minorHAnsi" w:cs="Arial"/>
          <w:b w:val="0"/>
          <w:bCs w:val="0"/>
          <w:color w:val="auto"/>
          <w:sz w:val="22"/>
          <w:szCs w:val="22"/>
          <w:lang w:val="el-GR"/>
        </w:rPr>
        <w:t xml:space="preserve"> 33,817</w:t>
      </w:r>
      <w:r w:rsidRPr="00FB3E14">
        <w:rPr>
          <w:rFonts w:asciiTheme="minorHAnsi" w:hAnsiTheme="minorHAnsi" w:cs="Arial"/>
          <w:b w:val="0"/>
          <w:bCs w:val="0"/>
          <w:color w:val="auto"/>
          <w:sz w:val="22"/>
          <w:szCs w:val="22"/>
          <w:lang w:val="el-GR"/>
        </w:rPr>
        <w:t xml:space="preserve"> άτομα (ποσοστό 7</w:t>
      </w:r>
      <w:r>
        <w:rPr>
          <w:rFonts w:asciiTheme="minorHAnsi" w:hAnsiTheme="minorHAnsi" w:cs="Arial"/>
          <w:b w:val="0"/>
          <w:bCs w:val="0"/>
          <w:color w:val="auto"/>
          <w:sz w:val="22"/>
          <w:szCs w:val="22"/>
          <w:lang w:val="el-GR"/>
        </w:rPr>
        <w:t>4</w:t>
      </w:r>
      <w:r w:rsidRPr="00FB3E14">
        <w:rPr>
          <w:rFonts w:asciiTheme="minorHAnsi" w:hAnsiTheme="minorHAnsi" w:cs="Arial"/>
          <w:b w:val="0"/>
          <w:bCs w:val="0"/>
          <w:color w:val="auto"/>
          <w:sz w:val="22"/>
          <w:szCs w:val="22"/>
          <w:lang w:val="el-GR"/>
        </w:rPr>
        <w:t xml:space="preserve">%). Ο αντίστοιχος αριθμός τον ίδιο μήνα πέρσι ήταν </w:t>
      </w:r>
      <w:r>
        <w:rPr>
          <w:rFonts w:asciiTheme="minorHAnsi" w:hAnsiTheme="minorHAnsi" w:cs="Arial"/>
          <w:b w:val="0"/>
          <w:bCs w:val="0"/>
          <w:color w:val="auto"/>
          <w:sz w:val="22"/>
          <w:szCs w:val="22"/>
          <w:lang w:val="el-GR"/>
        </w:rPr>
        <w:t>37,902</w:t>
      </w:r>
      <w:r w:rsidRPr="00FB3E14">
        <w:rPr>
          <w:rFonts w:asciiTheme="minorHAnsi" w:hAnsiTheme="minorHAnsi" w:cs="Arial"/>
          <w:b w:val="0"/>
          <w:bCs w:val="0"/>
          <w:color w:val="auto"/>
          <w:sz w:val="22"/>
          <w:szCs w:val="22"/>
          <w:lang w:val="el-GR"/>
        </w:rPr>
        <w:t xml:space="preserve"> άτομα (ποσοστό 76%). </w:t>
      </w:r>
      <w:r w:rsidR="002572BC" w:rsidRPr="00031613">
        <w:rPr>
          <w:rFonts w:ascii="Calibri" w:hAnsi="Calibri" w:cs="Calibri"/>
          <w:b w:val="0"/>
          <w:bCs w:val="0"/>
          <w:color w:val="auto"/>
          <w:sz w:val="22"/>
          <w:szCs w:val="22"/>
          <w:lang w:val="el-GR"/>
        </w:rPr>
        <w:t>Στο διάγραμμα που ακολουθεί παρουσιάζεται η διακύμανση του αριθμού των Ελληνοκυπρίων, των Ευρωπαίων ανέργων, των Ποντίων ανέργων και των ανέργων με καθεστώς συμπληρωματικής προστασίας δεύτερου χρόνου τους τελευταίους 12 μήνες.</w:t>
      </w:r>
    </w:p>
    <w:p w:rsidR="00E44498" w:rsidRPr="00E44498" w:rsidRDefault="00031613" w:rsidP="00E44498">
      <w:pPr>
        <w:pStyle w:val="ListParagraph"/>
        <w:spacing w:after="200" w:line="276" w:lineRule="auto"/>
        <w:jc w:val="both"/>
        <w:rPr>
          <w:rFonts w:asciiTheme="minorHAnsi" w:hAnsiTheme="minorHAnsi" w:cs="Arial"/>
          <w:b w:val="0"/>
          <w:bCs w:val="0"/>
          <w:color w:val="auto"/>
          <w:sz w:val="22"/>
          <w:szCs w:val="22"/>
          <w:lang w:val="el-GR"/>
        </w:rPr>
      </w:pPr>
      <w:r>
        <w:rPr>
          <w:noProof/>
          <w:lang w:val="el-GR" w:eastAsia="el-GR"/>
        </w:rPr>
        <w:drawing>
          <wp:inline distT="0" distB="0" distL="0" distR="0" wp14:anchorId="399F15E1" wp14:editId="2C352554">
            <wp:extent cx="5324475" cy="29241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1613" w:rsidRPr="00031613" w:rsidRDefault="00031613" w:rsidP="00031613">
      <w:pPr>
        <w:tabs>
          <w:tab w:val="left" w:pos="3400"/>
        </w:tabs>
        <w:spacing w:after="200" w:line="276" w:lineRule="auto"/>
        <w:ind w:left="360"/>
        <w:rPr>
          <w:rFonts w:ascii="Calibri" w:eastAsia="Calibri" w:hAnsi="Calibri" w:cs="Arial"/>
          <w:i/>
          <w:iCs/>
          <w:color w:val="auto"/>
          <w:sz w:val="22"/>
          <w:szCs w:val="22"/>
          <w:lang w:val="el-GR"/>
        </w:rPr>
      </w:pPr>
      <w:r w:rsidRPr="00031613">
        <w:rPr>
          <w:rFonts w:ascii="Calibri" w:eastAsia="Calibri" w:hAnsi="Calibri" w:cs="Arial"/>
          <w:i/>
          <w:iCs/>
          <w:color w:val="auto"/>
          <w:sz w:val="22"/>
          <w:szCs w:val="22"/>
          <w:lang w:val="el-GR"/>
        </w:rPr>
        <w:lastRenderedPageBreak/>
        <w:t>Σύγκριση μεταξύ Δεκεμβρίου 2015 και Ιανουαρίου 2016 (</w:t>
      </w:r>
      <w:r w:rsidRPr="00031613">
        <w:rPr>
          <w:rFonts w:ascii="Calibri" w:eastAsia="Calibri" w:hAnsi="Calibri" w:cs="Arial"/>
          <w:i/>
          <w:iCs/>
          <w:color w:val="auto"/>
          <w:sz w:val="22"/>
          <w:szCs w:val="22"/>
          <w:u w:val="single"/>
          <w:lang w:val="el-GR"/>
        </w:rPr>
        <w:t>μηνιαία σύγκριση</w:t>
      </w:r>
      <w:r w:rsidRPr="00031613">
        <w:rPr>
          <w:rFonts w:ascii="Calibri" w:eastAsia="Calibri" w:hAnsi="Calibri" w:cs="Arial"/>
          <w:i/>
          <w:iCs/>
          <w:color w:val="auto"/>
          <w:sz w:val="22"/>
          <w:szCs w:val="22"/>
          <w:lang w:val="el-GR"/>
        </w:rPr>
        <w:t>):</w:t>
      </w:r>
    </w:p>
    <w:p w:rsidR="00031613" w:rsidRPr="00031613" w:rsidRDefault="00031613" w:rsidP="00031613">
      <w:pPr>
        <w:numPr>
          <w:ilvl w:val="0"/>
          <w:numId w:val="1"/>
        </w:numPr>
        <w:spacing w:after="200" w:line="276" w:lineRule="auto"/>
        <w:jc w:val="both"/>
        <w:rPr>
          <w:rFonts w:ascii="Calibri" w:eastAsia="Calibri" w:hAnsi="Calibri" w:cs="Arial"/>
          <w:b w:val="0"/>
          <w:bCs w:val="0"/>
          <w:color w:val="auto"/>
          <w:sz w:val="22"/>
          <w:szCs w:val="22"/>
          <w:lang w:val="el-GR"/>
        </w:rPr>
      </w:pPr>
      <w:r w:rsidRPr="00031613">
        <w:rPr>
          <w:rFonts w:ascii="Calibri" w:eastAsia="Calibri" w:hAnsi="Calibri" w:cs="Arial"/>
          <w:b w:val="0"/>
          <w:bCs w:val="0"/>
          <w:color w:val="auto"/>
          <w:spacing w:val="4"/>
          <w:sz w:val="22"/>
          <w:szCs w:val="22"/>
          <w:lang w:val="el-GR"/>
        </w:rPr>
        <w:t>Τον Ιανουάριο του 2016 ο</w:t>
      </w:r>
      <w:r w:rsidRPr="00031613">
        <w:rPr>
          <w:rFonts w:ascii="Calibri" w:eastAsia="Calibri" w:hAnsi="Calibri" w:cs="Arial"/>
          <w:b w:val="0"/>
          <w:bCs w:val="0"/>
          <w:color w:val="auto"/>
          <w:sz w:val="22"/>
          <w:szCs w:val="22"/>
          <w:lang w:val="el-GR"/>
        </w:rPr>
        <w:t xml:space="preserve"> αριθμός των εγγεγραμμένων ανέργων παρουσίασε </w:t>
      </w:r>
      <w:r w:rsidRPr="00031613">
        <w:rPr>
          <w:rFonts w:ascii="Calibri" w:eastAsia="Calibri" w:hAnsi="Calibri" w:cs="Arial"/>
          <w:bCs w:val="0"/>
          <w:color w:val="auto"/>
          <w:sz w:val="22"/>
          <w:szCs w:val="22"/>
          <w:lang w:val="el-GR"/>
        </w:rPr>
        <w:t xml:space="preserve">αύξηση </w:t>
      </w:r>
      <w:r w:rsidRPr="00031613">
        <w:rPr>
          <w:rFonts w:ascii="Calibri" w:eastAsia="Calibri" w:hAnsi="Calibri" w:cs="Arial"/>
          <w:b w:val="0"/>
          <w:bCs w:val="0"/>
          <w:color w:val="auto"/>
          <w:sz w:val="22"/>
          <w:szCs w:val="22"/>
          <w:lang w:val="el-GR"/>
        </w:rPr>
        <w:t>κατά 1,419 άτομα ή 3,2%, σε σύγκριση με τον προηγού</w:t>
      </w:r>
      <w:r w:rsidRPr="00031613">
        <w:rPr>
          <w:rFonts w:ascii="Calibri" w:eastAsia="Calibri" w:hAnsi="Calibri" w:cs="Arial"/>
          <w:b w:val="0"/>
          <w:bCs w:val="0"/>
          <w:color w:val="auto"/>
          <w:sz w:val="22"/>
          <w:szCs w:val="22"/>
          <w:lang w:val="el-GR"/>
        </w:rPr>
        <w:softHyphen/>
        <w:t xml:space="preserve">μενο μήνα. </w:t>
      </w:r>
    </w:p>
    <w:p w:rsidR="00031613" w:rsidRPr="00031613" w:rsidRDefault="00031613" w:rsidP="00031613">
      <w:pPr>
        <w:numPr>
          <w:ilvl w:val="0"/>
          <w:numId w:val="1"/>
        </w:numPr>
        <w:spacing w:after="200" w:line="276" w:lineRule="auto"/>
        <w:jc w:val="both"/>
        <w:rPr>
          <w:rFonts w:ascii="Calibri" w:eastAsia="Calibri" w:hAnsi="Calibri" w:cs="Arial"/>
          <w:b w:val="0"/>
          <w:color w:val="auto"/>
          <w:sz w:val="22"/>
          <w:szCs w:val="22"/>
          <w:lang w:val="el-GR"/>
        </w:rPr>
      </w:pPr>
      <w:r w:rsidRPr="00031613">
        <w:rPr>
          <w:rFonts w:ascii="Calibri" w:eastAsia="Calibri" w:hAnsi="Calibri" w:cs="Arial"/>
          <w:b w:val="0"/>
          <w:bCs w:val="0"/>
          <w:color w:val="auto"/>
          <w:sz w:val="22"/>
          <w:szCs w:val="22"/>
          <w:lang w:val="el-GR"/>
        </w:rPr>
        <w:t>Κατά ηλικία, οι μεγαλύτερες αυξήσεις παρουσιάστηκαν ανάμεσα στις ηλικιακές ομάδες 30-39 χρονών (κατά 475 άτομα), 40-49 χρονών (κατά 276 άτομα), 50-59 χρονών (κατά 223) και 25-29 χρονών (κατά 218 άτομα).</w:t>
      </w:r>
    </w:p>
    <w:p w:rsidR="00031613" w:rsidRPr="00031613" w:rsidRDefault="00031613" w:rsidP="00031613">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031613">
        <w:rPr>
          <w:rFonts w:ascii="Calibri" w:eastAsia="Calibri" w:hAnsi="Calibri" w:cs="Arial"/>
          <w:b w:val="0"/>
          <w:bCs w:val="0"/>
          <w:color w:val="auto"/>
          <w:sz w:val="22"/>
          <w:szCs w:val="22"/>
          <w:lang w:val="el-GR"/>
        </w:rPr>
        <w:t xml:space="preserve">Κατά </w:t>
      </w:r>
      <w:r w:rsidRPr="00031613">
        <w:rPr>
          <w:rFonts w:ascii="Calibri" w:eastAsia="Calibri" w:hAnsi="Calibri" w:cs="Arial"/>
          <w:b w:val="0"/>
          <w:color w:val="auto"/>
          <w:sz w:val="22"/>
          <w:szCs w:val="22"/>
          <w:lang w:val="el-GR"/>
        </w:rPr>
        <w:t>φύλο</w:t>
      </w:r>
      <w:r w:rsidRPr="00031613">
        <w:rPr>
          <w:rFonts w:ascii="Calibri" w:eastAsia="Calibri" w:hAnsi="Calibri" w:cs="Arial"/>
          <w:b w:val="0"/>
          <w:bCs w:val="0"/>
          <w:color w:val="auto"/>
          <w:sz w:val="22"/>
          <w:szCs w:val="22"/>
          <w:lang w:val="el-GR"/>
        </w:rPr>
        <w:t>, ο αριθμός των άνεργων γυναικών αυξήθηκε κατά 652 άτομα και των αντρών κατά 767 άτομα.</w:t>
      </w:r>
    </w:p>
    <w:p w:rsidR="00031613" w:rsidRPr="00031613" w:rsidRDefault="00031613" w:rsidP="00031613">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031613">
        <w:rPr>
          <w:rFonts w:ascii="Calibri" w:eastAsia="Calibri" w:hAnsi="Calibri" w:cs="Arial"/>
          <w:b w:val="0"/>
          <w:bCs w:val="0"/>
          <w:color w:val="auto"/>
          <w:sz w:val="22"/>
          <w:szCs w:val="22"/>
          <w:lang w:val="el-GR"/>
        </w:rPr>
        <w:t xml:space="preserve">Κατά εθνότητα, οι μεγαλύτερες αυξήσεις παρατηρήθηκαν ανάμεσα στους Ελληνοκύπριους κατά 800 άτομα και ανάμεσα στους Ευρωπαίους πολίτες κατά 363 άτομα. </w:t>
      </w:r>
    </w:p>
    <w:p w:rsidR="00031613" w:rsidRPr="00031613" w:rsidRDefault="00031613" w:rsidP="00031613">
      <w:pPr>
        <w:numPr>
          <w:ilvl w:val="0"/>
          <w:numId w:val="1"/>
        </w:numPr>
        <w:spacing w:after="200" w:line="276" w:lineRule="auto"/>
        <w:jc w:val="both"/>
        <w:rPr>
          <w:rFonts w:ascii="Calibri" w:eastAsia="Calibri" w:hAnsi="Calibri" w:cs="Arial"/>
          <w:b w:val="0"/>
          <w:color w:val="auto"/>
          <w:sz w:val="22"/>
          <w:szCs w:val="22"/>
          <w:lang w:val="el-GR"/>
        </w:rPr>
      </w:pPr>
      <w:r w:rsidRPr="00031613">
        <w:rPr>
          <w:rFonts w:ascii="Calibri" w:eastAsia="Calibri" w:hAnsi="Calibri" w:cs="Arial"/>
          <w:b w:val="0"/>
          <w:bCs w:val="0"/>
          <w:color w:val="auto"/>
          <w:sz w:val="22"/>
          <w:szCs w:val="22"/>
          <w:lang w:val="el-GR"/>
        </w:rPr>
        <w:t xml:space="preserve">Ο αριθμός των ανέργων που ήταν εγγεγραμμένοι στα γραφεία της ΔΥΑ με διάρκεια ανεργίας 15 μέχρι 3 μήνες μειώθηκε κατά 550 άτομα, ενώ ο αριθμός των ατόμων που είχαν διάρκεια ανεργίας για πάνω από 3 μήνες αυξήθηκε κατά 1,545 άτομα. </w:t>
      </w:r>
    </w:p>
    <w:p w:rsidR="00031613" w:rsidRPr="00031613" w:rsidRDefault="00031613" w:rsidP="00031613">
      <w:pPr>
        <w:numPr>
          <w:ilvl w:val="0"/>
          <w:numId w:val="1"/>
        </w:numPr>
        <w:spacing w:after="200" w:line="276" w:lineRule="auto"/>
        <w:jc w:val="both"/>
        <w:rPr>
          <w:rFonts w:ascii="Calibri" w:eastAsia="Calibri" w:hAnsi="Calibri" w:cs="Arial"/>
          <w:b w:val="0"/>
          <w:bCs w:val="0"/>
          <w:color w:val="auto"/>
          <w:sz w:val="22"/>
          <w:szCs w:val="22"/>
          <w:lang w:val="el-GR"/>
        </w:rPr>
      </w:pPr>
      <w:r w:rsidRPr="00031613">
        <w:rPr>
          <w:rFonts w:ascii="Calibri" w:eastAsia="Calibri" w:hAnsi="Calibri" w:cs="Arial"/>
          <w:b w:val="0"/>
          <w:bCs w:val="0"/>
          <w:color w:val="auto"/>
          <w:sz w:val="22"/>
          <w:szCs w:val="22"/>
          <w:lang w:val="el-GR"/>
        </w:rPr>
        <w:t>Κατά τομέα οικονομικής δραστηριότητας</w:t>
      </w:r>
      <w:r w:rsidRPr="00031613">
        <w:rPr>
          <w:rFonts w:ascii="Calibri" w:eastAsia="Calibri" w:hAnsi="Calibri" w:cs="Arial"/>
          <w:bCs w:val="0"/>
          <w:color w:val="auto"/>
          <w:sz w:val="22"/>
          <w:szCs w:val="22"/>
          <w:lang w:val="el-GR"/>
        </w:rPr>
        <w:t>,</w:t>
      </w:r>
      <w:r w:rsidRPr="00031613">
        <w:rPr>
          <w:rFonts w:ascii="Calibri" w:eastAsia="Calibri" w:hAnsi="Calibri" w:cs="Arial"/>
          <w:b w:val="0"/>
          <w:bCs w:val="0"/>
          <w:color w:val="auto"/>
          <w:sz w:val="22"/>
          <w:szCs w:val="22"/>
          <w:lang w:val="el-GR"/>
        </w:rPr>
        <w:t xml:space="preserve"> οι μεγαλύτερες αυξήσεις παρατηρήθηκαν στον τομέα της δημόσιας διοίκησης (κατά 438 άτομα), στον τομέα των ξενοδοχείων (κατά 320 άτομα) και στον τομέα του εμπορίου (κατά 296 άτομα).</w:t>
      </w:r>
    </w:p>
    <w:p w:rsidR="00031613" w:rsidRPr="00031613" w:rsidRDefault="00031613" w:rsidP="00031613">
      <w:pPr>
        <w:numPr>
          <w:ilvl w:val="0"/>
          <w:numId w:val="1"/>
        </w:numPr>
        <w:spacing w:after="200" w:line="276" w:lineRule="auto"/>
        <w:jc w:val="both"/>
        <w:rPr>
          <w:rFonts w:ascii="Calibri" w:eastAsia="Calibri" w:hAnsi="Calibri" w:cs="Arial"/>
          <w:b w:val="0"/>
          <w:i/>
          <w:iCs/>
          <w:color w:val="auto"/>
          <w:sz w:val="22"/>
          <w:szCs w:val="22"/>
          <w:lang w:val="el-GR"/>
        </w:rPr>
      </w:pPr>
      <w:r w:rsidRPr="00031613">
        <w:rPr>
          <w:rFonts w:ascii="Calibri" w:eastAsia="Calibri" w:hAnsi="Calibri" w:cs="Arial"/>
          <w:b w:val="0"/>
          <w:bCs w:val="0"/>
          <w:color w:val="auto"/>
          <w:sz w:val="22"/>
          <w:szCs w:val="22"/>
          <w:lang w:val="el-GR"/>
        </w:rPr>
        <w:t>Κατά επαρχία, η μεγαλύτερη αύξηση καταγράφηκε στην επαρχία Λεμεσού (κατά 439 άτομα), ακολουθούμενη από τις επαρχίες Πάφου (κατά 375 άτομα), Λάρνακας (κατά 274 άτομα), Αμμοχώστου (κατά 191 άτομα) και Λευκωσίας (κατά 140 άτομα).</w:t>
      </w:r>
    </w:p>
    <w:p w:rsidR="00535818" w:rsidRPr="001A306D" w:rsidRDefault="00535818" w:rsidP="00F50C17">
      <w:pPr>
        <w:spacing w:line="276" w:lineRule="auto"/>
        <w:jc w:val="both"/>
        <w:rPr>
          <w:rFonts w:ascii="Calibri" w:hAnsi="Calibri" w:cs="Calibri"/>
          <w:color w:val="auto"/>
          <w:spacing w:val="4"/>
          <w:sz w:val="22"/>
          <w:szCs w:val="22"/>
          <w:u w:val="single"/>
          <w:lang w:val="el-GR"/>
        </w:rPr>
      </w:pPr>
    </w:p>
    <w:p w:rsidR="002572BC" w:rsidRPr="00617061" w:rsidRDefault="002572BC" w:rsidP="00F50C17">
      <w:pPr>
        <w:spacing w:line="276" w:lineRule="auto"/>
        <w:jc w:val="both"/>
        <w:rPr>
          <w:rFonts w:ascii="Calibri" w:hAnsi="Calibri" w:cs="Calibri"/>
          <w:color w:val="auto"/>
          <w:spacing w:val="4"/>
          <w:sz w:val="22"/>
          <w:szCs w:val="22"/>
          <w:u w:val="single"/>
          <w:lang w:val="el-GR"/>
        </w:rPr>
      </w:pPr>
      <w:r w:rsidRPr="00617061">
        <w:rPr>
          <w:rFonts w:ascii="Calibri" w:hAnsi="Calibri" w:cs="Calibri"/>
          <w:color w:val="auto"/>
          <w:spacing w:val="4"/>
          <w:sz w:val="22"/>
          <w:szCs w:val="22"/>
          <w:u w:val="single"/>
          <w:lang w:val="el-GR"/>
        </w:rPr>
        <w:t>ΑΝΑΛΥΣΗ ΣΤΟΙΧΕΙΩΝ ΑΠΟ ΑΛΛΕΣ ΠΗΓΕΣ</w:t>
      </w:r>
    </w:p>
    <w:p w:rsidR="002572BC" w:rsidRPr="00617061" w:rsidRDefault="002572BC" w:rsidP="003F6AB1">
      <w:pPr>
        <w:spacing w:line="276" w:lineRule="auto"/>
        <w:jc w:val="both"/>
        <w:rPr>
          <w:rFonts w:ascii="Calibri" w:hAnsi="Calibri" w:cs="Calibri"/>
          <w:color w:val="auto"/>
          <w:spacing w:val="4"/>
          <w:sz w:val="16"/>
          <w:szCs w:val="16"/>
          <w:u w:val="single"/>
          <w:lang w:val="el-GR"/>
        </w:rPr>
      </w:pPr>
    </w:p>
    <w:p w:rsidR="00F80E44" w:rsidRPr="00617061" w:rsidRDefault="002572BC" w:rsidP="00E27141">
      <w:pPr>
        <w:numPr>
          <w:ilvl w:val="0"/>
          <w:numId w:val="12"/>
        </w:numPr>
        <w:spacing w:line="276" w:lineRule="auto"/>
        <w:jc w:val="both"/>
        <w:rPr>
          <w:rFonts w:ascii="Calibri" w:hAnsi="Calibri" w:cs="Calibri"/>
          <w:b w:val="0"/>
          <w:bCs w:val="0"/>
          <w:i/>
          <w:iCs/>
          <w:color w:val="auto"/>
          <w:sz w:val="22"/>
          <w:szCs w:val="22"/>
          <w:lang w:val="el-GR"/>
        </w:rPr>
      </w:pPr>
      <w:r w:rsidRPr="00617061">
        <w:rPr>
          <w:rFonts w:ascii="Calibri" w:hAnsi="Calibri" w:cs="Calibri"/>
          <w:color w:val="auto"/>
          <w:sz w:val="22"/>
          <w:szCs w:val="22"/>
          <w:lang w:val="el-GR"/>
        </w:rPr>
        <w:t>Μηνιαία Ανεργία Προσαρμοσμένη στις Εποχικές Διακυμάνσεις</w:t>
      </w:r>
      <w:r w:rsidRPr="00617061">
        <w:rPr>
          <w:rStyle w:val="FootnoteReference"/>
          <w:rFonts w:ascii="Calibri" w:hAnsi="Calibri" w:cs="Calibri"/>
          <w:color w:val="auto"/>
          <w:spacing w:val="4"/>
          <w:sz w:val="22"/>
          <w:szCs w:val="22"/>
        </w:rPr>
        <w:footnoteReference w:id="2"/>
      </w:r>
      <w:r w:rsidRPr="00617061">
        <w:rPr>
          <w:rFonts w:ascii="Calibri" w:hAnsi="Calibri" w:cs="Calibri"/>
          <w:color w:val="auto"/>
          <w:sz w:val="22"/>
          <w:szCs w:val="22"/>
          <w:lang w:val="el-GR"/>
        </w:rPr>
        <w:t xml:space="preserve"> - </w:t>
      </w:r>
      <w:r w:rsidRPr="00617061">
        <w:rPr>
          <w:rFonts w:ascii="Calibri" w:hAnsi="Calibri" w:cs="Calibri"/>
          <w:color w:val="auto"/>
          <w:sz w:val="22"/>
          <w:szCs w:val="22"/>
          <w:lang w:val="en-GB"/>
        </w:rPr>
        <w:t>EUROSTAT</w:t>
      </w:r>
      <w:r w:rsidR="00445B1A">
        <w:rPr>
          <w:rFonts w:ascii="Calibri" w:hAnsi="Calibri" w:cs="Calibri"/>
          <w:b w:val="0"/>
          <w:bCs w:val="0"/>
          <w:color w:val="auto"/>
          <w:sz w:val="22"/>
          <w:szCs w:val="22"/>
          <w:lang w:val="el-GR"/>
        </w:rPr>
        <w:t>(βλέπε πι</w:t>
      </w:r>
      <w:r w:rsidRPr="00617061">
        <w:rPr>
          <w:rFonts w:ascii="Calibri" w:hAnsi="Calibri" w:cs="Calibri"/>
          <w:b w:val="0"/>
          <w:bCs w:val="0"/>
          <w:color w:val="auto"/>
          <w:sz w:val="22"/>
          <w:szCs w:val="22"/>
          <w:lang w:val="el-GR"/>
        </w:rPr>
        <w:t>ν</w:t>
      </w:r>
      <w:r w:rsidR="004133BA" w:rsidRPr="00617061">
        <w:rPr>
          <w:rFonts w:ascii="Calibri" w:hAnsi="Calibri" w:cs="Calibri"/>
          <w:b w:val="0"/>
          <w:bCs w:val="0"/>
          <w:color w:val="auto"/>
          <w:sz w:val="22"/>
          <w:szCs w:val="22"/>
          <w:lang w:val="el-GR"/>
        </w:rPr>
        <w:t>.</w:t>
      </w:r>
      <w:r w:rsidRPr="00617061">
        <w:rPr>
          <w:rFonts w:ascii="Calibri" w:hAnsi="Calibri" w:cs="Calibri"/>
          <w:b w:val="0"/>
          <w:bCs w:val="0"/>
          <w:color w:val="auto"/>
          <w:sz w:val="22"/>
          <w:szCs w:val="22"/>
          <w:lang w:val="el-GR"/>
        </w:rPr>
        <w:t>10)</w:t>
      </w:r>
    </w:p>
    <w:p w:rsidR="004133BA" w:rsidRPr="00617061" w:rsidRDefault="004133BA" w:rsidP="00E27141">
      <w:pPr>
        <w:spacing w:line="276" w:lineRule="auto"/>
        <w:ind w:left="360"/>
        <w:jc w:val="both"/>
        <w:rPr>
          <w:rFonts w:ascii="Calibri" w:hAnsi="Calibri" w:cs="Calibri"/>
          <w:b w:val="0"/>
          <w:bCs w:val="0"/>
          <w:color w:val="auto"/>
          <w:spacing w:val="4"/>
          <w:sz w:val="22"/>
          <w:szCs w:val="22"/>
          <w:lang w:val="el-GR"/>
        </w:rPr>
      </w:pPr>
    </w:p>
    <w:p w:rsidR="002572BC" w:rsidRDefault="002572BC" w:rsidP="00E27141">
      <w:pPr>
        <w:spacing w:line="276" w:lineRule="auto"/>
        <w:ind w:left="360"/>
        <w:jc w:val="both"/>
        <w:rPr>
          <w:rFonts w:ascii="Calibri" w:hAnsi="Calibri" w:cs="Calibri"/>
          <w:b w:val="0"/>
          <w:bCs w:val="0"/>
          <w:color w:val="auto"/>
          <w:spacing w:val="4"/>
          <w:sz w:val="22"/>
          <w:szCs w:val="22"/>
          <w:lang w:val="el-GR"/>
        </w:rPr>
      </w:pPr>
      <w:r w:rsidRPr="00617061">
        <w:rPr>
          <w:rFonts w:ascii="Calibri" w:hAnsi="Calibri" w:cs="Calibri"/>
          <w:b w:val="0"/>
          <w:bCs w:val="0"/>
          <w:color w:val="auto"/>
          <w:spacing w:val="4"/>
          <w:sz w:val="22"/>
          <w:szCs w:val="22"/>
          <w:lang w:val="el-GR"/>
        </w:rPr>
        <w:t>Με βάση τα μηνιαία στοιχεία τα οποία είναι προσαρμοσμένα σε εποχικές διακυμάνσεις και υπολογίζονται από την Ευρωπαϊκή Στατιστική Υπηρεσία (</w:t>
      </w:r>
      <w:r w:rsidRPr="00617061">
        <w:rPr>
          <w:rFonts w:ascii="Calibri" w:hAnsi="Calibri" w:cs="Calibri"/>
          <w:b w:val="0"/>
          <w:bCs w:val="0"/>
          <w:color w:val="auto"/>
          <w:spacing w:val="4"/>
          <w:sz w:val="22"/>
          <w:szCs w:val="22"/>
        </w:rPr>
        <w:t>EUROSTAT</w:t>
      </w:r>
      <w:r w:rsidRPr="00617061">
        <w:rPr>
          <w:rFonts w:ascii="Calibri" w:hAnsi="Calibri" w:cs="Calibri"/>
          <w:b w:val="0"/>
          <w:bCs w:val="0"/>
          <w:color w:val="auto"/>
          <w:spacing w:val="4"/>
          <w:sz w:val="22"/>
          <w:szCs w:val="22"/>
          <w:lang w:val="el-GR"/>
        </w:rPr>
        <w:t xml:space="preserve">), η οποία λαμβάνει επίσης υπόψη τα στοιχεία της ΔΥΑ για την εγγεγραμμένη ανεργία και τα αποτελέσματα της Έρευνας Εργατικού Δυναμικού (ΕΕΔ) της Στατιστικής Υπηρεσίας Κύπρου, εξάγονται τα ακόλουθα: </w:t>
      </w:r>
    </w:p>
    <w:p w:rsidR="00680553" w:rsidRPr="00617061" w:rsidRDefault="00680553" w:rsidP="00E27141">
      <w:pPr>
        <w:spacing w:line="276" w:lineRule="auto"/>
        <w:ind w:left="360"/>
        <w:jc w:val="both"/>
        <w:rPr>
          <w:rFonts w:ascii="Calibri" w:hAnsi="Calibri" w:cs="Calibri"/>
          <w:b w:val="0"/>
          <w:bCs w:val="0"/>
          <w:color w:val="auto"/>
          <w:spacing w:val="4"/>
          <w:sz w:val="22"/>
          <w:szCs w:val="22"/>
          <w:lang w:val="el-GR"/>
        </w:rPr>
      </w:pPr>
    </w:p>
    <w:p w:rsidR="00680553" w:rsidRPr="00680553" w:rsidRDefault="00680553" w:rsidP="00680553">
      <w:pPr>
        <w:pStyle w:val="ListParagraph"/>
        <w:numPr>
          <w:ilvl w:val="0"/>
          <w:numId w:val="42"/>
        </w:numPr>
        <w:spacing w:line="276" w:lineRule="auto"/>
        <w:jc w:val="both"/>
        <w:rPr>
          <w:rFonts w:ascii="Calibri" w:eastAsia="Calibri" w:hAnsi="Calibri" w:cs="Arial"/>
          <w:b w:val="0"/>
          <w:bCs w:val="0"/>
          <w:color w:val="auto"/>
          <w:sz w:val="22"/>
          <w:szCs w:val="22"/>
          <w:lang w:val="el-GR"/>
        </w:rPr>
      </w:pPr>
      <w:r w:rsidRPr="00680553">
        <w:rPr>
          <w:rFonts w:ascii="Calibri" w:eastAsia="Calibri" w:hAnsi="Calibri" w:cs="Arial"/>
          <w:b w:val="0"/>
          <w:bCs w:val="0"/>
          <w:color w:val="auto"/>
          <w:sz w:val="22"/>
          <w:szCs w:val="22"/>
          <w:lang w:val="el-GR"/>
        </w:rPr>
        <w:t xml:space="preserve">Κατά το μήνα Δεκέμβριο 2015 η ανεργία ανήλθε στο 15,7% και μειώθηκε 0,8 ποσοστιαίες μονάδες σε σχέση με τον ίδιο μήνα πέρσι (16,5%). Σε σύγκριση με τον προηγούμενο μήνα, Νοέμβριο 2015, το ποσοστό παρέμεινε το ίδιο. </w:t>
      </w:r>
    </w:p>
    <w:p w:rsidR="00680553" w:rsidRPr="00680553" w:rsidRDefault="00680553" w:rsidP="00680553">
      <w:pPr>
        <w:spacing w:line="276" w:lineRule="auto"/>
        <w:ind w:left="360"/>
        <w:jc w:val="both"/>
        <w:rPr>
          <w:rFonts w:ascii="Calibri" w:eastAsia="Calibri" w:hAnsi="Calibri" w:cs="Arial"/>
          <w:b w:val="0"/>
          <w:bCs w:val="0"/>
          <w:color w:val="auto"/>
          <w:sz w:val="22"/>
          <w:szCs w:val="22"/>
          <w:lang w:val="el-GR"/>
        </w:rPr>
      </w:pPr>
    </w:p>
    <w:p w:rsidR="00680553" w:rsidRPr="00680553" w:rsidRDefault="00680553" w:rsidP="00680553">
      <w:pPr>
        <w:pStyle w:val="ListParagraph"/>
        <w:numPr>
          <w:ilvl w:val="0"/>
          <w:numId w:val="42"/>
        </w:numPr>
        <w:spacing w:line="276" w:lineRule="auto"/>
        <w:jc w:val="both"/>
        <w:rPr>
          <w:rFonts w:ascii="Calibri" w:eastAsia="Calibri" w:hAnsi="Calibri" w:cs="Arial"/>
          <w:color w:val="auto"/>
          <w:sz w:val="22"/>
          <w:szCs w:val="22"/>
          <w:lang w:val="el-GR"/>
        </w:rPr>
      </w:pPr>
      <w:r w:rsidRPr="00680553">
        <w:rPr>
          <w:rFonts w:ascii="Calibri" w:eastAsia="Calibri" w:hAnsi="Calibri" w:cs="Arial"/>
          <w:b w:val="0"/>
          <w:bCs w:val="0"/>
          <w:color w:val="auto"/>
          <w:sz w:val="22"/>
          <w:szCs w:val="22"/>
          <w:lang w:val="el-GR"/>
        </w:rPr>
        <w:t xml:space="preserve">Η ανεργία των νέων κάτω των 25 ετών παρέμεινε σταθερή στο 31,7% τους τελευταίους τρεις μήνες (Οκτώβριο μέχρι Δεκέμβριο 2015), ενώ </w:t>
      </w:r>
      <w:r w:rsidRPr="00680553">
        <w:rPr>
          <w:rFonts w:ascii="Calibri" w:eastAsia="Calibri" w:hAnsi="Calibri" w:cs="Arial"/>
          <w:b w:val="0"/>
          <w:bCs w:val="0"/>
          <w:color w:val="auto"/>
          <w:sz w:val="22"/>
          <w:szCs w:val="22"/>
          <w:u w:val="single"/>
          <w:lang w:val="el-GR"/>
        </w:rPr>
        <w:t>μειώθηκε</w:t>
      </w:r>
      <w:r w:rsidRPr="00680553">
        <w:rPr>
          <w:rFonts w:ascii="Calibri" w:eastAsia="Calibri" w:hAnsi="Calibri" w:cs="Arial"/>
          <w:b w:val="0"/>
          <w:bCs w:val="0"/>
          <w:color w:val="auto"/>
          <w:sz w:val="22"/>
          <w:szCs w:val="22"/>
          <w:lang w:val="el-GR"/>
        </w:rPr>
        <w:t xml:space="preserve"> κατά 2,6 ποσοστιαίες μονάδες σε σχέση με τους ίδιους μήνες του προηγούμενου χρόνου. </w:t>
      </w:r>
    </w:p>
    <w:p w:rsidR="00680553" w:rsidRPr="00680553" w:rsidRDefault="00680553" w:rsidP="00680553">
      <w:pPr>
        <w:spacing w:line="276" w:lineRule="auto"/>
        <w:ind w:left="360"/>
        <w:jc w:val="both"/>
        <w:rPr>
          <w:rFonts w:ascii="Calibri" w:eastAsia="Calibri" w:hAnsi="Calibri" w:cs="Arial"/>
          <w:b w:val="0"/>
          <w:bCs w:val="0"/>
          <w:color w:val="auto"/>
          <w:sz w:val="22"/>
          <w:szCs w:val="22"/>
          <w:lang w:val="el-GR"/>
        </w:rPr>
      </w:pPr>
    </w:p>
    <w:p w:rsidR="00680553" w:rsidRPr="00680553" w:rsidRDefault="00680553" w:rsidP="00680553">
      <w:pPr>
        <w:pStyle w:val="ListParagraph"/>
        <w:numPr>
          <w:ilvl w:val="0"/>
          <w:numId w:val="42"/>
        </w:numPr>
        <w:spacing w:line="276" w:lineRule="auto"/>
        <w:jc w:val="both"/>
        <w:rPr>
          <w:rFonts w:ascii="Calibri" w:eastAsia="Calibri" w:hAnsi="Calibri" w:cs="Arial"/>
          <w:color w:val="auto"/>
          <w:sz w:val="22"/>
          <w:szCs w:val="22"/>
          <w:lang w:val="el-GR"/>
        </w:rPr>
      </w:pPr>
      <w:r w:rsidRPr="00680553">
        <w:rPr>
          <w:rFonts w:ascii="Calibri" w:eastAsia="Calibri" w:hAnsi="Calibri" w:cs="Arial"/>
          <w:b w:val="0"/>
          <w:bCs w:val="0"/>
          <w:color w:val="auto"/>
          <w:sz w:val="22"/>
          <w:szCs w:val="22"/>
          <w:lang w:val="el-GR"/>
        </w:rPr>
        <w:t xml:space="preserve">Τον Δεκέμβριο του 2015 ο μέσος όρος ανεργίας στην Ευρωζώνη ανήλθε στο 10,4%, καταγράφοντας το χαμηλότερο ποσοστό ανεργίας από τον Σεπτέμβριο του 2011, ενώ ο μέσος όρος στην Ευρώπη ανήλθε στο 9,0% καταγράφοντας επίσης το χαμηλότερο ποσοστό ανεργίας από τον Ιούνιο του 2009.  </w:t>
      </w:r>
    </w:p>
    <w:p w:rsidR="00680553" w:rsidRPr="00680553" w:rsidRDefault="00680553" w:rsidP="00680553">
      <w:pPr>
        <w:spacing w:line="276" w:lineRule="auto"/>
        <w:ind w:left="360"/>
        <w:jc w:val="both"/>
        <w:rPr>
          <w:rFonts w:ascii="Calibri" w:eastAsia="Calibri" w:hAnsi="Calibri" w:cs="Arial"/>
          <w:b w:val="0"/>
          <w:bCs w:val="0"/>
          <w:color w:val="auto"/>
          <w:sz w:val="22"/>
          <w:szCs w:val="22"/>
          <w:lang w:val="el-GR"/>
        </w:rPr>
      </w:pPr>
    </w:p>
    <w:p w:rsidR="00680553" w:rsidRPr="00680553" w:rsidRDefault="00680553" w:rsidP="00680553">
      <w:pPr>
        <w:pStyle w:val="ListParagraph"/>
        <w:numPr>
          <w:ilvl w:val="0"/>
          <w:numId w:val="42"/>
        </w:numPr>
        <w:spacing w:line="276" w:lineRule="auto"/>
        <w:jc w:val="both"/>
        <w:rPr>
          <w:rFonts w:ascii="Calibri" w:eastAsia="Calibri" w:hAnsi="Calibri" w:cs="Arial"/>
          <w:b w:val="0"/>
          <w:bCs w:val="0"/>
          <w:color w:val="auto"/>
          <w:sz w:val="22"/>
          <w:szCs w:val="22"/>
          <w:lang w:val="el-GR"/>
        </w:rPr>
      </w:pPr>
      <w:r w:rsidRPr="00680553">
        <w:rPr>
          <w:rFonts w:ascii="Calibri" w:eastAsia="Calibri" w:hAnsi="Calibri" w:cs="Arial"/>
          <w:b w:val="0"/>
          <w:bCs w:val="0"/>
          <w:color w:val="auto"/>
          <w:sz w:val="22"/>
          <w:szCs w:val="22"/>
          <w:lang w:val="el-GR"/>
        </w:rPr>
        <w:t>Το ποσοστό ανεργίας των</w:t>
      </w:r>
      <w:r w:rsidRPr="00680553">
        <w:rPr>
          <w:rFonts w:ascii="Calibri" w:eastAsia="Calibri" w:hAnsi="Calibri" w:cs="Arial"/>
          <w:b w:val="0"/>
          <w:bCs w:val="0"/>
          <w:i/>
          <w:iCs/>
          <w:color w:val="auto"/>
          <w:sz w:val="22"/>
          <w:szCs w:val="22"/>
          <w:lang w:val="el-GR"/>
        </w:rPr>
        <w:t xml:space="preserve"> ανδρών</w:t>
      </w:r>
      <w:r w:rsidRPr="00680553">
        <w:rPr>
          <w:rFonts w:ascii="Calibri" w:eastAsia="Calibri" w:hAnsi="Calibri" w:cs="Arial"/>
          <w:b w:val="0"/>
          <w:bCs w:val="0"/>
          <w:color w:val="auto"/>
          <w:sz w:val="22"/>
          <w:szCs w:val="22"/>
          <w:lang w:val="el-GR"/>
        </w:rPr>
        <w:t xml:space="preserve"> κατά τον μήνα Δεκέμβριο 2015 υπολογίζεται στο 15,6% σημειώνοντας μείωση 1,7 ποσοστιαίες μονάδες σε σχέση με τον αντίστοιχο μήνα πέρσι. Σε σχέση με τον προηγούμενο μήνα, Νοέμβριο 2015, το ποσοστό παρουσίασε οριακή αύξηση 0,2 ποσοστιαίες μονάδες.</w:t>
      </w:r>
    </w:p>
    <w:p w:rsidR="00680553" w:rsidRPr="00680553" w:rsidRDefault="00680553" w:rsidP="00680553">
      <w:pPr>
        <w:spacing w:line="276" w:lineRule="auto"/>
        <w:ind w:left="360"/>
        <w:jc w:val="both"/>
        <w:rPr>
          <w:rFonts w:ascii="Calibri" w:eastAsia="Calibri" w:hAnsi="Calibri" w:cs="Arial"/>
          <w:b w:val="0"/>
          <w:bCs w:val="0"/>
          <w:color w:val="auto"/>
          <w:sz w:val="22"/>
          <w:szCs w:val="22"/>
          <w:lang w:val="el-GR"/>
        </w:rPr>
      </w:pPr>
    </w:p>
    <w:p w:rsidR="00680553" w:rsidRPr="00680553" w:rsidRDefault="00680553" w:rsidP="00680553">
      <w:pPr>
        <w:pStyle w:val="ListParagraph"/>
        <w:numPr>
          <w:ilvl w:val="0"/>
          <w:numId w:val="42"/>
        </w:numPr>
        <w:spacing w:line="276" w:lineRule="auto"/>
        <w:jc w:val="both"/>
        <w:rPr>
          <w:rFonts w:ascii="Calibri" w:eastAsia="Calibri" w:hAnsi="Calibri" w:cs="Arial"/>
          <w:b w:val="0"/>
          <w:bCs w:val="0"/>
          <w:color w:val="auto"/>
          <w:sz w:val="22"/>
          <w:szCs w:val="22"/>
          <w:lang w:val="el-GR"/>
        </w:rPr>
      </w:pPr>
      <w:r w:rsidRPr="00680553">
        <w:rPr>
          <w:rFonts w:ascii="Calibri" w:eastAsia="Calibri" w:hAnsi="Calibri" w:cs="Arial"/>
          <w:b w:val="0"/>
          <w:bCs w:val="0"/>
          <w:color w:val="auto"/>
          <w:sz w:val="22"/>
          <w:szCs w:val="22"/>
          <w:lang w:val="el-GR"/>
        </w:rPr>
        <w:t>Το ποσοστό ανεργίας των</w:t>
      </w:r>
      <w:r w:rsidRPr="00680553">
        <w:rPr>
          <w:rFonts w:ascii="Calibri" w:eastAsia="Calibri" w:hAnsi="Calibri" w:cs="Arial"/>
          <w:b w:val="0"/>
          <w:bCs w:val="0"/>
          <w:i/>
          <w:iCs/>
          <w:color w:val="auto"/>
          <w:sz w:val="22"/>
          <w:szCs w:val="22"/>
          <w:lang w:val="el-GR"/>
        </w:rPr>
        <w:t xml:space="preserve"> γυναικών</w:t>
      </w:r>
      <w:r w:rsidRPr="00680553">
        <w:rPr>
          <w:rFonts w:ascii="Calibri" w:eastAsia="Calibri" w:hAnsi="Calibri" w:cs="Arial"/>
          <w:b w:val="0"/>
          <w:bCs w:val="0"/>
          <w:color w:val="auto"/>
          <w:sz w:val="22"/>
          <w:szCs w:val="22"/>
          <w:lang w:val="el-GR"/>
        </w:rPr>
        <w:t xml:space="preserve"> κατά το μήνα Δεκέμβριο 2015 υπολογίζεται στο 15,9%, σημειώνοντας  οριακή αύξηση 0,3 ποσοστιαίες μονάδες σε σχέση με τον αντίστοιχο μήνα πέρσι. Σε σχέση με τον προηγούμενο μήνα, Νοέμβριο 2015, το ποσοστό παρέμεινε το ίδιο. </w:t>
      </w:r>
    </w:p>
    <w:p w:rsidR="00E27141" w:rsidRPr="00E44498" w:rsidRDefault="00E27141" w:rsidP="00E27141">
      <w:pPr>
        <w:spacing w:line="276" w:lineRule="auto"/>
        <w:ind w:left="360"/>
        <w:jc w:val="both"/>
        <w:rPr>
          <w:rFonts w:ascii="Calibri" w:hAnsi="Calibri" w:cs="Calibri"/>
          <w:b w:val="0"/>
          <w:bCs w:val="0"/>
          <w:color w:val="C00000"/>
          <w:spacing w:val="4"/>
          <w:sz w:val="22"/>
          <w:szCs w:val="22"/>
          <w:lang w:val="el-GR"/>
        </w:rPr>
      </w:pPr>
    </w:p>
    <w:p w:rsidR="002572BC" w:rsidRPr="00961F12" w:rsidRDefault="002572BC" w:rsidP="00E27141">
      <w:pPr>
        <w:spacing w:line="276" w:lineRule="auto"/>
        <w:jc w:val="both"/>
        <w:rPr>
          <w:rFonts w:ascii="Calibri" w:hAnsi="Calibri" w:cs="Calibri"/>
          <w:b w:val="0"/>
          <w:bCs w:val="0"/>
          <w:color w:val="auto"/>
          <w:sz w:val="16"/>
          <w:szCs w:val="16"/>
          <w:lang w:val="el-GR"/>
        </w:rPr>
      </w:pPr>
    </w:p>
    <w:p w:rsidR="002572BC" w:rsidRPr="00961F12" w:rsidRDefault="002572BC" w:rsidP="00E27141">
      <w:pPr>
        <w:numPr>
          <w:ilvl w:val="0"/>
          <w:numId w:val="12"/>
        </w:numPr>
        <w:spacing w:line="276" w:lineRule="auto"/>
        <w:jc w:val="both"/>
        <w:rPr>
          <w:rFonts w:ascii="Calibri" w:hAnsi="Calibri" w:cs="Calibri"/>
          <w:b w:val="0"/>
          <w:bCs w:val="0"/>
          <w:i/>
          <w:iCs/>
          <w:color w:val="auto"/>
          <w:sz w:val="22"/>
          <w:szCs w:val="22"/>
          <w:lang w:val="el-GR"/>
        </w:rPr>
      </w:pPr>
      <w:r w:rsidRPr="00961F12">
        <w:rPr>
          <w:rFonts w:ascii="Calibri" w:hAnsi="Calibri" w:cs="Calibri"/>
          <w:color w:val="auto"/>
          <w:sz w:val="22"/>
          <w:szCs w:val="22"/>
          <w:lang w:val="el-GR"/>
        </w:rPr>
        <w:t>Απασχόληση και Ανεργία με βάση την Έρευνα Εργατικού Δυναμικού –</w:t>
      </w:r>
      <w:r w:rsidR="00245BCA" w:rsidRPr="00961F12">
        <w:rPr>
          <w:rFonts w:ascii="Calibri" w:hAnsi="Calibri" w:cs="Calibri"/>
          <w:color w:val="auto"/>
          <w:sz w:val="22"/>
          <w:szCs w:val="22"/>
          <w:lang w:val="el-GR"/>
        </w:rPr>
        <w:t>Τρίτο</w:t>
      </w:r>
      <w:r w:rsidR="00256474" w:rsidRPr="00961F12">
        <w:rPr>
          <w:rFonts w:ascii="Calibri" w:hAnsi="Calibri" w:cs="Calibri"/>
          <w:color w:val="auto"/>
          <w:sz w:val="22"/>
          <w:szCs w:val="22"/>
          <w:lang w:val="el-GR"/>
        </w:rPr>
        <w:t xml:space="preserve"> </w:t>
      </w:r>
      <w:r w:rsidR="00E6013F" w:rsidRPr="00961F12">
        <w:rPr>
          <w:rFonts w:ascii="Calibri" w:hAnsi="Calibri" w:cs="Calibri"/>
          <w:color w:val="auto"/>
          <w:sz w:val="22"/>
          <w:szCs w:val="22"/>
          <w:lang w:val="el-GR"/>
        </w:rPr>
        <w:t>τρίμηνο του 2015</w:t>
      </w:r>
      <w:r w:rsidR="004133BA" w:rsidRPr="00961F12">
        <w:rPr>
          <w:rFonts w:ascii="Calibri" w:hAnsi="Calibri" w:cs="Calibri"/>
          <w:color w:val="auto"/>
          <w:sz w:val="22"/>
          <w:szCs w:val="22"/>
          <w:lang w:val="el-GR"/>
        </w:rPr>
        <w:t xml:space="preserve"> </w:t>
      </w:r>
      <w:r w:rsidRPr="00961F12">
        <w:rPr>
          <w:rFonts w:ascii="Calibri" w:hAnsi="Calibri" w:cs="Calibri"/>
          <w:b w:val="0"/>
          <w:bCs w:val="0"/>
          <w:color w:val="auto"/>
          <w:sz w:val="22"/>
          <w:szCs w:val="22"/>
          <w:lang w:val="el-GR"/>
        </w:rPr>
        <w:t>(βλέπε πίνακα 11)</w:t>
      </w:r>
    </w:p>
    <w:p w:rsidR="002572BC" w:rsidRPr="00E44498" w:rsidRDefault="002572BC" w:rsidP="00E27141">
      <w:pPr>
        <w:pStyle w:val="Title"/>
        <w:spacing w:line="276" w:lineRule="auto"/>
        <w:ind w:left="360"/>
        <w:jc w:val="both"/>
        <w:rPr>
          <w:rFonts w:ascii="Calibri" w:hAnsi="Calibri" w:cs="Calibri"/>
          <w:b w:val="0"/>
          <w:bCs w:val="0"/>
          <w:color w:val="C00000"/>
          <w:spacing w:val="4"/>
          <w:sz w:val="22"/>
          <w:szCs w:val="22"/>
        </w:rPr>
      </w:pPr>
    </w:p>
    <w:p w:rsidR="00245BCA" w:rsidRPr="000E6008" w:rsidRDefault="00245BCA" w:rsidP="000E6008">
      <w:pPr>
        <w:pStyle w:val="ListParagraph"/>
        <w:spacing w:line="276" w:lineRule="auto"/>
        <w:ind w:left="360"/>
        <w:jc w:val="both"/>
        <w:rPr>
          <w:rFonts w:asciiTheme="minorHAnsi" w:hAnsiTheme="minorHAnsi" w:cs="Calibri"/>
          <w:b w:val="0"/>
          <w:bCs w:val="0"/>
          <w:color w:val="auto"/>
          <w:sz w:val="22"/>
          <w:szCs w:val="22"/>
          <w:lang w:val="el-GR"/>
        </w:rPr>
      </w:pPr>
      <w:r w:rsidRPr="000E6008">
        <w:rPr>
          <w:rFonts w:asciiTheme="minorHAnsi" w:hAnsiTheme="minorHAnsi" w:cs="Calibri"/>
          <w:b w:val="0"/>
          <w:bCs w:val="0"/>
          <w:color w:val="auto"/>
          <w:sz w:val="22"/>
          <w:szCs w:val="22"/>
          <w:lang w:val="el-GR"/>
        </w:rPr>
        <w:t xml:space="preserve">Ο αριθμός των απασχολούμενων (15+) κατά το 3ο τρίμηνο του 2015 ανερχόταν στις 358,178 χιλιάδες, σε σύγκριση με 366,307 χιλιάδες το ίδιο τρίμηνο του 2014.  Το ποσοστό απασχόλησης των ατόμων 20-64 ετών ανήλθε στο 67,6% το 3ο τρίμηνο του 2015 σημειώνοντας μικρή αύξηση 0,3 ποσοστιαίας μονάδας σε σχέση με το αντίστοιχο τρίμηνο του 2014 (67,9%). </w:t>
      </w:r>
      <w:r w:rsidRPr="000E6008">
        <w:rPr>
          <w:rFonts w:asciiTheme="minorHAnsi" w:hAnsiTheme="minorHAnsi" w:cs="Arial"/>
          <w:b w:val="0"/>
          <w:color w:val="auto"/>
          <w:spacing w:val="4"/>
          <w:sz w:val="22"/>
          <w:szCs w:val="22"/>
          <w:lang w:val="el-GR"/>
        </w:rPr>
        <w:t>Ο ετήσιος μέσος όρος τ</w:t>
      </w:r>
      <w:r w:rsidRPr="000E6008">
        <w:rPr>
          <w:rFonts w:asciiTheme="minorHAnsi" w:hAnsiTheme="minorHAnsi" w:cs="Calibri"/>
          <w:b w:val="0"/>
          <w:bCs w:val="0"/>
          <w:color w:val="auto"/>
          <w:sz w:val="22"/>
          <w:szCs w:val="22"/>
          <w:lang w:val="el-GR"/>
        </w:rPr>
        <w:t xml:space="preserve">ου ποσοστού απασχόλησης των ατόμων 20-64 ετών </w:t>
      </w:r>
      <w:r w:rsidRPr="000E6008">
        <w:rPr>
          <w:rFonts w:asciiTheme="minorHAnsi" w:hAnsiTheme="minorHAnsi" w:cs="Arial"/>
          <w:b w:val="0"/>
          <w:color w:val="auto"/>
          <w:spacing w:val="4"/>
          <w:sz w:val="22"/>
          <w:szCs w:val="22"/>
          <w:lang w:val="el-GR"/>
        </w:rPr>
        <w:t>κατά το 2014 ήταν στο 67,6% παρουσιάζοντας μικρή αύξηση (0,4 ποσοστιαίας μονάδας) σε σχέση με τον ετήσιο μέσο όρο του 2013 (67,2%).</w:t>
      </w:r>
    </w:p>
    <w:p w:rsidR="005D5AED" w:rsidRPr="000E6008" w:rsidRDefault="005D5AED" w:rsidP="002A7AC1">
      <w:pPr>
        <w:pStyle w:val="ListParagraph"/>
        <w:spacing w:line="276" w:lineRule="auto"/>
        <w:ind w:left="0"/>
        <w:jc w:val="both"/>
        <w:rPr>
          <w:rFonts w:asciiTheme="minorHAnsi" w:hAnsiTheme="minorHAnsi" w:cs="Calibri"/>
          <w:b w:val="0"/>
          <w:bCs w:val="0"/>
          <w:color w:val="C00000"/>
          <w:sz w:val="4"/>
          <w:szCs w:val="4"/>
          <w:lang w:val="el-GR"/>
        </w:rPr>
      </w:pPr>
    </w:p>
    <w:p w:rsidR="002572BC" w:rsidRPr="000E6008" w:rsidRDefault="002572BC" w:rsidP="002A7AC1">
      <w:pPr>
        <w:pStyle w:val="Title"/>
        <w:spacing w:line="276" w:lineRule="auto"/>
        <w:ind w:left="360"/>
        <w:jc w:val="both"/>
        <w:rPr>
          <w:b w:val="0"/>
          <w:color w:val="C00000"/>
          <w:spacing w:val="4"/>
          <w:sz w:val="20"/>
          <w:szCs w:val="20"/>
        </w:rPr>
      </w:pPr>
    </w:p>
    <w:p w:rsidR="00245BCA" w:rsidRPr="000E6008" w:rsidRDefault="00245BCA" w:rsidP="000E6008">
      <w:pPr>
        <w:spacing w:after="240"/>
        <w:ind w:left="360"/>
        <w:jc w:val="both"/>
        <w:rPr>
          <w:rFonts w:ascii="Calibri" w:hAnsi="Calibri" w:cs="Arial"/>
          <w:b w:val="0"/>
          <w:bCs w:val="0"/>
          <w:spacing w:val="4"/>
          <w:sz w:val="22"/>
          <w:szCs w:val="22"/>
          <w:lang w:val="el-GR"/>
        </w:rPr>
      </w:pPr>
      <w:r w:rsidRPr="000E6008">
        <w:rPr>
          <w:rFonts w:ascii="Calibri" w:hAnsi="Calibri" w:cs="Arial"/>
          <w:b w:val="0"/>
          <w:spacing w:val="4"/>
          <w:sz w:val="22"/>
          <w:szCs w:val="22"/>
          <w:lang w:val="el-GR"/>
        </w:rPr>
        <w:t xml:space="preserve">Το ποσοστό ανεργίας </w:t>
      </w:r>
      <w:r w:rsidRPr="00961F12">
        <w:rPr>
          <w:rFonts w:ascii="Calibri" w:hAnsi="Calibri" w:cs="Arial"/>
          <w:b w:val="0"/>
          <w:spacing w:val="4"/>
          <w:sz w:val="22"/>
          <w:szCs w:val="22"/>
          <w:lang w:val="el-GR"/>
        </w:rPr>
        <w:t>το 3</w:t>
      </w:r>
      <w:r w:rsidRPr="00961F12">
        <w:rPr>
          <w:rFonts w:ascii="Calibri" w:hAnsi="Calibri" w:cs="Arial"/>
          <w:b w:val="0"/>
          <w:spacing w:val="4"/>
          <w:sz w:val="22"/>
          <w:szCs w:val="22"/>
          <w:vertAlign w:val="superscript"/>
          <w:lang w:val="el-GR"/>
        </w:rPr>
        <w:t>ο</w:t>
      </w:r>
      <w:r w:rsidRPr="00961F12">
        <w:rPr>
          <w:rFonts w:ascii="Calibri" w:hAnsi="Calibri" w:cs="Arial"/>
          <w:b w:val="0"/>
          <w:spacing w:val="4"/>
          <w:sz w:val="22"/>
          <w:szCs w:val="22"/>
          <w:lang w:val="el-GR"/>
        </w:rPr>
        <w:t xml:space="preserve"> τρίμηνο</w:t>
      </w:r>
      <w:r w:rsidRPr="000E6008">
        <w:rPr>
          <w:rFonts w:ascii="Calibri" w:hAnsi="Calibri" w:cs="Arial"/>
          <w:b w:val="0"/>
          <w:spacing w:val="4"/>
          <w:sz w:val="22"/>
          <w:szCs w:val="22"/>
          <w:lang w:val="el-GR"/>
        </w:rPr>
        <w:t xml:space="preserve"> του 2015 ανερχόταν στο 14,8% του εργατικού δυναμικού, μειωμένο κατά 1,2 ποσοστιαίας μονάδας σε σχέση με το αντίστοιχο τρίμηνο του 2014, ενώ μειώθηκε κατά 2,9 ποσοστιαίες μονάδες σε σχέση με το 1</w:t>
      </w:r>
      <w:r w:rsidRPr="000E6008">
        <w:rPr>
          <w:rFonts w:ascii="Calibri" w:hAnsi="Calibri" w:cs="Arial"/>
          <w:b w:val="0"/>
          <w:spacing w:val="4"/>
          <w:sz w:val="22"/>
          <w:szCs w:val="22"/>
          <w:vertAlign w:val="superscript"/>
          <w:lang w:val="el-GR"/>
        </w:rPr>
        <w:t>ο</w:t>
      </w:r>
      <w:r w:rsidRPr="000E6008">
        <w:rPr>
          <w:rFonts w:ascii="Calibri" w:hAnsi="Calibri" w:cs="Arial"/>
          <w:b w:val="0"/>
          <w:spacing w:val="4"/>
          <w:sz w:val="22"/>
          <w:szCs w:val="22"/>
          <w:lang w:val="el-GR"/>
        </w:rPr>
        <w:t xml:space="preserve"> τρίμηνο του 2015. Ο ετήσιος μέσος όρος κατά το 2014 ήταν στο 16,1% και ο ετήσιος μέσος όρος του 2013 ήταν στο 15,9%. </w:t>
      </w:r>
    </w:p>
    <w:p w:rsidR="00245BCA" w:rsidRPr="00EA154D" w:rsidRDefault="00245BCA" w:rsidP="000E6008">
      <w:pPr>
        <w:spacing w:after="240"/>
        <w:ind w:left="360"/>
        <w:jc w:val="both"/>
        <w:rPr>
          <w:rFonts w:ascii="Calibri" w:hAnsi="Calibri" w:cs="Calibri"/>
          <w:b w:val="0"/>
          <w:spacing w:val="4"/>
          <w:sz w:val="22"/>
          <w:szCs w:val="22"/>
          <w:lang w:val="el-GR"/>
        </w:rPr>
      </w:pPr>
      <w:r w:rsidRPr="000E6008">
        <w:rPr>
          <w:rFonts w:ascii="Calibri" w:hAnsi="Calibri" w:cs="Calibri"/>
          <w:b w:val="0"/>
          <w:spacing w:val="4"/>
          <w:sz w:val="22"/>
          <w:szCs w:val="22"/>
          <w:lang w:val="el-GR"/>
        </w:rPr>
        <w:t xml:space="preserve">Με βάση τα αποτελέσματα της Έρευνας Εργατικού Δυναμικού για το </w:t>
      </w:r>
      <w:r w:rsidRPr="00961F12">
        <w:rPr>
          <w:rFonts w:ascii="Calibri" w:hAnsi="Calibri" w:cs="Calibri"/>
          <w:b w:val="0"/>
          <w:spacing w:val="4"/>
          <w:sz w:val="22"/>
          <w:szCs w:val="22"/>
          <w:lang w:val="el-GR"/>
        </w:rPr>
        <w:t>3</w:t>
      </w:r>
      <w:r w:rsidRPr="00961F12">
        <w:rPr>
          <w:rFonts w:ascii="Calibri" w:hAnsi="Calibri" w:cs="Calibri"/>
          <w:b w:val="0"/>
          <w:spacing w:val="4"/>
          <w:sz w:val="22"/>
          <w:szCs w:val="22"/>
          <w:vertAlign w:val="superscript"/>
          <w:lang w:val="el-GR"/>
        </w:rPr>
        <w:t>ο</w:t>
      </w:r>
      <w:r w:rsidRPr="00961F12">
        <w:rPr>
          <w:rFonts w:ascii="Calibri" w:hAnsi="Calibri" w:cs="Calibri"/>
          <w:b w:val="0"/>
          <w:spacing w:val="4"/>
          <w:sz w:val="22"/>
          <w:szCs w:val="22"/>
          <w:lang w:val="el-GR"/>
        </w:rPr>
        <w:t xml:space="preserve"> τρίμηνο</w:t>
      </w:r>
      <w:r w:rsidRPr="000E6008">
        <w:rPr>
          <w:rFonts w:ascii="Calibri" w:hAnsi="Calibri" w:cs="Calibri"/>
          <w:b w:val="0"/>
          <w:spacing w:val="4"/>
          <w:sz w:val="22"/>
          <w:szCs w:val="22"/>
          <w:lang w:val="el-GR"/>
        </w:rPr>
        <w:t xml:space="preserve"> του 2015 (τελευταία διαθέσιμα στοιχεία), το ποσοστό ανεργίας για τους νέους 15-24 ετών </w:t>
      </w:r>
      <w:r w:rsidRPr="000E6008">
        <w:rPr>
          <w:rFonts w:ascii="Calibri" w:hAnsi="Calibri" w:cs="Arial"/>
          <w:b w:val="0"/>
          <w:spacing w:val="4"/>
          <w:sz w:val="22"/>
          <w:szCs w:val="22"/>
          <w:lang w:val="el-GR"/>
        </w:rPr>
        <w:t>ήταν 32,3% του εργατικού δυναμικού των ηλικιών</w:t>
      </w:r>
      <w:r w:rsidRPr="00EA154D">
        <w:rPr>
          <w:rFonts w:ascii="Calibri" w:hAnsi="Calibri" w:cs="Arial"/>
          <w:b w:val="0"/>
          <w:spacing w:val="4"/>
          <w:sz w:val="22"/>
          <w:szCs w:val="22"/>
          <w:lang w:val="el-GR"/>
        </w:rPr>
        <w:t xml:space="preserve"> αυτών, σημειώνοντας μείωση (1,1 ποσοστιαίες μονάδες) σε σχέση με το αντίστοιχο τρίμηνο του 2014, ενώ μειώθηκε κατά 4,8 ποσοστιαίες μονάδες σε σχέση με το 1</w:t>
      </w:r>
      <w:r w:rsidRPr="00EA154D">
        <w:rPr>
          <w:rFonts w:ascii="Calibri" w:hAnsi="Calibri" w:cs="Arial"/>
          <w:b w:val="0"/>
          <w:spacing w:val="4"/>
          <w:sz w:val="22"/>
          <w:szCs w:val="22"/>
          <w:vertAlign w:val="superscript"/>
          <w:lang w:val="el-GR"/>
        </w:rPr>
        <w:t>ο</w:t>
      </w:r>
      <w:r w:rsidRPr="00EA154D">
        <w:rPr>
          <w:rFonts w:ascii="Calibri" w:hAnsi="Calibri" w:cs="Arial"/>
          <w:b w:val="0"/>
          <w:spacing w:val="4"/>
          <w:sz w:val="22"/>
          <w:szCs w:val="22"/>
          <w:lang w:val="el-GR"/>
        </w:rPr>
        <w:t xml:space="preserve"> τρίμηνο του 2015. Ο ετήσιος μέσος όρος κατά το 2014 ήταν στο 35,9% παρουσιάζοντας μείωση (3,0 ποσοστιαίες μονάδες) σε σχέση με τον ετήσιο μέσο όρο του 2013 (38,9%).</w:t>
      </w:r>
    </w:p>
    <w:p w:rsidR="002572BC" w:rsidRPr="000E6008" w:rsidRDefault="002572BC" w:rsidP="00AA3D0D">
      <w:pPr>
        <w:pStyle w:val="Title"/>
        <w:spacing w:line="276" w:lineRule="auto"/>
        <w:ind w:left="360"/>
        <w:jc w:val="both"/>
        <w:rPr>
          <w:rFonts w:ascii="Calibri" w:hAnsi="Calibri" w:cs="Calibri"/>
          <w:b w:val="0"/>
          <w:bCs w:val="0"/>
          <w:color w:val="auto"/>
          <w:spacing w:val="4"/>
          <w:sz w:val="22"/>
          <w:szCs w:val="22"/>
        </w:rPr>
      </w:pPr>
      <w:r w:rsidRPr="000E6008">
        <w:rPr>
          <w:rFonts w:ascii="Calibri" w:hAnsi="Calibri" w:cs="Calibri"/>
          <w:b w:val="0"/>
          <w:bCs w:val="0"/>
          <w:color w:val="auto"/>
          <w:spacing w:val="4"/>
          <w:sz w:val="22"/>
          <w:szCs w:val="22"/>
        </w:rPr>
        <w:t xml:space="preserve">Το μερίδιο των ατόμων με διάρκεια ανεργίας πάνω από </w:t>
      </w:r>
      <w:r w:rsidR="002A7AC1" w:rsidRPr="000E6008">
        <w:rPr>
          <w:rFonts w:ascii="Calibri" w:hAnsi="Calibri" w:cs="Calibri"/>
          <w:b w:val="0"/>
          <w:bCs w:val="0"/>
          <w:color w:val="auto"/>
          <w:spacing w:val="4"/>
          <w:sz w:val="22"/>
          <w:szCs w:val="22"/>
        </w:rPr>
        <w:t>12</w:t>
      </w:r>
      <w:r w:rsidRPr="000E6008">
        <w:rPr>
          <w:rFonts w:ascii="Calibri" w:hAnsi="Calibri" w:cs="Calibri"/>
          <w:b w:val="0"/>
          <w:bCs w:val="0"/>
          <w:color w:val="auto"/>
          <w:spacing w:val="4"/>
          <w:sz w:val="22"/>
          <w:szCs w:val="22"/>
        </w:rPr>
        <w:t xml:space="preserve"> μήνες στο σύνολο των ανέργων ανερχόταν στο </w:t>
      </w:r>
      <w:r w:rsidR="002A7AC1" w:rsidRPr="000E6008">
        <w:rPr>
          <w:rFonts w:ascii="Calibri" w:hAnsi="Calibri" w:cs="Calibri"/>
          <w:b w:val="0"/>
          <w:bCs w:val="0"/>
          <w:color w:val="auto"/>
          <w:spacing w:val="4"/>
          <w:sz w:val="22"/>
          <w:szCs w:val="22"/>
        </w:rPr>
        <w:t>4</w:t>
      </w:r>
      <w:r w:rsidR="00245BCA" w:rsidRPr="000E6008">
        <w:rPr>
          <w:rFonts w:ascii="Calibri" w:hAnsi="Calibri" w:cs="Calibri"/>
          <w:b w:val="0"/>
          <w:bCs w:val="0"/>
          <w:color w:val="auto"/>
          <w:spacing w:val="4"/>
          <w:sz w:val="22"/>
          <w:szCs w:val="22"/>
        </w:rPr>
        <w:t>4,6</w:t>
      </w:r>
      <w:r w:rsidR="00F47370" w:rsidRPr="000E6008">
        <w:rPr>
          <w:rFonts w:ascii="Calibri" w:hAnsi="Calibri" w:cs="Calibri"/>
          <w:b w:val="0"/>
          <w:bCs w:val="0"/>
          <w:color w:val="auto"/>
          <w:spacing w:val="4"/>
          <w:sz w:val="22"/>
          <w:szCs w:val="22"/>
        </w:rPr>
        <w:t>%</w:t>
      </w:r>
      <w:r w:rsidR="00EC3360" w:rsidRPr="000E6008">
        <w:rPr>
          <w:rFonts w:ascii="Calibri" w:hAnsi="Calibri" w:cs="Calibri"/>
          <w:b w:val="0"/>
          <w:bCs w:val="0"/>
          <w:color w:val="auto"/>
          <w:spacing w:val="4"/>
          <w:sz w:val="22"/>
          <w:szCs w:val="22"/>
        </w:rPr>
        <w:t xml:space="preserve"> </w:t>
      </w:r>
      <w:r w:rsidR="006B45A1" w:rsidRPr="000E6008">
        <w:rPr>
          <w:rFonts w:ascii="Calibri" w:hAnsi="Calibri" w:cs="Calibri"/>
          <w:b w:val="0"/>
          <w:bCs w:val="0"/>
          <w:color w:val="auto"/>
          <w:spacing w:val="4"/>
          <w:sz w:val="22"/>
          <w:szCs w:val="22"/>
        </w:rPr>
        <w:t xml:space="preserve">το </w:t>
      </w:r>
      <w:r w:rsidR="00245BCA" w:rsidRPr="000E6008">
        <w:rPr>
          <w:rFonts w:ascii="Calibri" w:hAnsi="Calibri" w:cs="Calibri"/>
          <w:b w:val="0"/>
          <w:bCs w:val="0"/>
          <w:color w:val="auto"/>
          <w:spacing w:val="4"/>
          <w:sz w:val="22"/>
          <w:szCs w:val="22"/>
        </w:rPr>
        <w:t>3</w:t>
      </w:r>
      <w:r w:rsidR="005D5AED" w:rsidRPr="000E6008">
        <w:rPr>
          <w:rFonts w:ascii="Calibri" w:hAnsi="Calibri" w:cs="Calibri"/>
          <w:b w:val="0"/>
          <w:bCs w:val="0"/>
          <w:color w:val="auto"/>
          <w:spacing w:val="4"/>
          <w:sz w:val="22"/>
          <w:szCs w:val="22"/>
          <w:vertAlign w:val="superscript"/>
        </w:rPr>
        <w:t>ο</w:t>
      </w:r>
      <w:r w:rsidR="005D5AED" w:rsidRPr="000E6008">
        <w:rPr>
          <w:rFonts w:ascii="Calibri" w:hAnsi="Calibri" w:cs="Calibri"/>
          <w:b w:val="0"/>
          <w:bCs w:val="0"/>
          <w:color w:val="auto"/>
          <w:spacing w:val="4"/>
          <w:sz w:val="22"/>
          <w:szCs w:val="22"/>
        </w:rPr>
        <w:t xml:space="preserve"> τρίμηνο </w:t>
      </w:r>
      <w:r w:rsidR="006B45A1" w:rsidRPr="000E6008">
        <w:rPr>
          <w:rFonts w:ascii="Calibri" w:hAnsi="Calibri" w:cs="Calibri"/>
          <w:b w:val="0"/>
          <w:bCs w:val="0"/>
          <w:color w:val="auto"/>
          <w:spacing w:val="4"/>
          <w:sz w:val="22"/>
          <w:szCs w:val="22"/>
        </w:rPr>
        <w:t xml:space="preserve">του </w:t>
      </w:r>
      <w:r w:rsidR="005D5AED" w:rsidRPr="000E6008">
        <w:rPr>
          <w:rFonts w:ascii="Calibri" w:hAnsi="Calibri" w:cs="Calibri"/>
          <w:b w:val="0"/>
          <w:bCs w:val="0"/>
          <w:color w:val="auto"/>
          <w:spacing w:val="4"/>
          <w:sz w:val="22"/>
          <w:szCs w:val="22"/>
        </w:rPr>
        <w:t>2015</w:t>
      </w:r>
      <w:r w:rsidR="00F47370" w:rsidRPr="000E6008">
        <w:rPr>
          <w:rFonts w:ascii="Calibri" w:hAnsi="Calibri" w:cs="Calibri"/>
          <w:b w:val="0"/>
          <w:bCs w:val="0"/>
          <w:color w:val="auto"/>
          <w:spacing w:val="4"/>
          <w:sz w:val="22"/>
          <w:szCs w:val="22"/>
        </w:rPr>
        <w:t xml:space="preserve">, </w:t>
      </w:r>
      <w:r w:rsidR="006B45A1" w:rsidRPr="000E6008">
        <w:rPr>
          <w:rFonts w:ascii="Calibri" w:hAnsi="Calibri" w:cs="Calibri"/>
          <w:b w:val="0"/>
          <w:bCs w:val="0"/>
          <w:color w:val="auto"/>
          <w:spacing w:val="4"/>
          <w:sz w:val="22"/>
          <w:szCs w:val="22"/>
        </w:rPr>
        <w:t xml:space="preserve">μειωμένο </w:t>
      </w:r>
      <w:r w:rsidRPr="000E6008">
        <w:rPr>
          <w:rFonts w:ascii="Calibri" w:hAnsi="Calibri" w:cs="Calibri"/>
          <w:b w:val="0"/>
          <w:bCs w:val="0"/>
          <w:color w:val="auto"/>
          <w:spacing w:val="4"/>
          <w:sz w:val="22"/>
          <w:szCs w:val="22"/>
        </w:rPr>
        <w:t xml:space="preserve">κατά </w:t>
      </w:r>
      <w:r w:rsidR="002A7AC1" w:rsidRPr="000E6008">
        <w:rPr>
          <w:rFonts w:ascii="Calibri" w:hAnsi="Calibri" w:cs="Calibri"/>
          <w:b w:val="0"/>
          <w:bCs w:val="0"/>
          <w:color w:val="auto"/>
          <w:spacing w:val="4"/>
          <w:sz w:val="22"/>
          <w:szCs w:val="22"/>
        </w:rPr>
        <w:t>3,</w:t>
      </w:r>
      <w:r w:rsidR="00245BCA" w:rsidRPr="000E6008">
        <w:rPr>
          <w:rFonts w:ascii="Calibri" w:hAnsi="Calibri" w:cs="Calibri"/>
          <w:b w:val="0"/>
          <w:bCs w:val="0"/>
          <w:color w:val="auto"/>
          <w:spacing w:val="4"/>
          <w:sz w:val="22"/>
          <w:szCs w:val="22"/>
        </w:rPr>
        <w:t>9</w:t>
      </w:r>
      <w:r w:rsidR="00EC3360" w:rsidRPr="000E6008">
        <w:rPr>
          <w:rFonts w:ascii="Calibri" w:hAnsi="Calibri" w:cs="Calibri"/>
          <w:b w:val="0"/>
          <w:bCs w:val="0"/>
          <w:color w:val="auto"/>
          <w:spacing w:val="4"/>
          <w:sz w:val="22"/>
          <w:szCs w:val="22"/>
        </w:rPr>
        <w:t xml:space="preserve"> </w:t>
      </w:r>
      <w:r w:rsidRPr="000E6008">
        <w:rPr>
          <w:rFonts w:ascii="Calibri" w:hAnsi="Calibri" w:cs="Calibri"/>
          <w:b w:val="0"/>
          <w:bCs w:val="0"/>
          <w:color w:val="auto"/>
          <w:spacing w:val="4"/>
          <w:sz w:val="22"/>
          <w:szCs w:val="22"/>
        </w:rPr>
        <w:t xml:space="preserve">ποσοστιαίες μονάδες σε σύγκριση με το </w:t>
      </w:r>
      <w:r w:rsidR="005D5AED" w:rsidRPr="000E6008">
        <w:rPr>
          <w:rFonts w:ascii="Calibri" w:hAnsi="Calibri" w:cs="Calibri"/>
          <w:b w:val="0"/>
          <w:bCs w:val="0"/>
          <w:color w:val="auto"/>
          <w:spacing w:val="4"/>
          <w:sz w:val="22"/>
          <w:szCs w:val="22"/>
        </w:rPr>
        <w:t>αντίστοιχο τρίμηνο του 2014</w:t>
      </w:r>
      <w:r w:rsidR="002A7AC1" w:rsidRPr="000E6008">
        <w:rPr>
          <w:rFonts w:ascii="Calibri" w:hAnsi="Calibri" w:cs="Calibri"/>
          <w:b w:val="0"/>
          <w:bCs w:val="0"/>
          <w:color w:val="auto"/>
          <w:spacing w:val="4"/>
          <w:sz w:val="22"/>
          <w:szCs w:val="22"/>
        </w:rPr>
        <w:t>, ενώ είναι αυξημένο σε σχέση με το 1</w:t>
      </w:r>
      <w:r w:rsidR="002A7AC1" w:rsidRPr="000E6008">
        <w:rPr>
          <w:rFonts w:ascii="Calibri" w:hAnsi="Calibri" w:cs="Calibri"/>
          <w:b w:val="0"/>
          <w:bCs w:val="0"/>
          <w:color w:val="auto"/>
          <w:spacing w:val="4"/>
          <w:sz w:val="22"/>
          <w:szCs w:val="22"/>
          <w:vertAlign w:val="superscript"/>
        </w:rPr>
        <w:t>ο</w:t>
      </w:r>
      <w:r w:rsidR="002A7AC1" w:rsidRPr="000E6008">
        <w:rPr>
          <w:rFonts w:ascii="Calibri" w:hAnsi="Calibri" w:cs="Calibri"/>
          <w:b w:val="0"/>
          <w:bCs w:val="0"/>
          <w:color w:val="auto"/>
          <w:spacing w:val="4"/>
          <w:sz w:val="22"/>
          <w:szCs w:val="22"/>
        </w:rPr>
        <w:t xml:space="preserve"> τρίμηνο του 2015 κατά </w:t>
      </w:r>
      <w:r w:rsidR="00245BCA" w:rsidRPr="000E6008">
        <w:rPr>
          <w:rFonts w:ascii="Calibri" w:hAnsi="Calibri" w:cs="Calibri"/>
          <w:b w:val="0"/>
          <w:bCs w:val="0"/>
          <w:color w:val="auto"/>
          <w:spacing w:val="4"/>
          <w:sz w:val="22"/>
          <w:szCs w:val="22"/>
        </w:rPr>
        <w:t>1,5</w:t>
      </w:r>
      <w:r w:rsidR="002A7AC1" w:rsidRPr="000E6008">
        <w:rPr>
          <w:rFonts w:ascii="Calibri" w:hAnsi="Calibri" w:cs="Calibri"/>
          <w:b w:val="0"/>
          <w:bCs w:val="0"/>
          <w:color w:val="auto"/>
          <w:spacing w:val="4"/>
          <w:sz w:val="22"/>
          <w:szCs w:val="22"/>
        </w:rPr>
        <w:t xml:space="preserve"> ποσοστιαίες μονάδες.</w:t>
      </w:r>
      <w:r w:rsidRPr="000E6008">
        <w:rPr>
          <w:rFonts w:ascii="Calibri" w:hAnsi="Calibri" w:cs="Calibri"/>
          <w:b w:val="0"/>
          <w:bCs w:val="0"/>
          <w:color w:val="auto"/>
          <w:spacing w:val="4"/>
          <w:sz w:val="22"/>
          <w:szCs w:val="22"/>
        </w:rPr>
        <w:t xml:space="preserve"> </w:t>
      </w:r>
      <w:r w:rsidR="00245BCA" w:rsidRPr="000E6008">
        <w:rPr>
          <w:rFonts w:ascii="Calibri" w:hAnsi="Calibri" w:cs="Calibri"/>
          <w:b w:val="0"/>
          <w:bCs w:val="0"/>
          <w:color w:val="auto"/>
          <w:spacing w:val="4"/>
          <w:sz w:val="22"/>
          <w:szCs w:val="22"/>
        </w:rPr>
        <w:t xml:space="preserve">Ο ετήσιος μέσος όρος </w:t>
      </w:r>
      <w:r w:rsidR="00EC3360" w:rsidRPr="000E6008">
        <w:rPr>
          <w:rFonts w:ascii="Calibri" w:hAnsi="Calibri" w:cs="Calibri"/>
          <w:b w:val="0"/>
          <w:bCs w:val="0"/>
          <w:color w:val="auto"/>
          <w:spacing w:val="4"/>
          <w:sz w:val="22"/>
          <w:szCs w:val="22"/>
        </w:rPr>
        <w:t xml:space="preserve">των ατόμων με διάρκεια </w:t>
      </w:r>
      <w:r w:rsidR="00EC3360" w:rsidRPr="000E6008">
        <w:rPr>
          <w:rFonts w:ascii="Calibri" w:hAnsi="Calibri" w:cs="Calibri"/>
          <w:b w:val="0"/>
          <w:bCs w:val="0"/>
          <w:color w:val="auto"/>
          <w:spacing w:val="4"/>
          <w:sz w:val="22"/>
          <w:szCs w:val="22"/>
        </w:rPr>
        <w:lastRenderedPageBreak/>
        <w:t>ανεργίας πάνω από 12 μήνες</w:t>
      </w:r>
      <w:r w:rsidR="000A14AF" w:rsidRPr="000E6008">
        <w:rPr>
          <w:rFonts w:ascii="Calibri" w:hAnsi="Calibri" w:cs="Calibri"/>
          <w:b w:val="0"/>
          <w:bCs w:val="0"/>
          <w:color w:val="auto"/>
          <w:spacing w:val="4"/>
          <w:sz w:val="22"/>
          <w:szCs w:val="22"/>
        </w:rPr>
        <w:t xml:space="preserve"> έφτασε στο 4</w:t>
      </w:r>
      <w:r w:rsidR="00245BCA" w:rsidRPr="000E6008">
        <w:rPr>
          <w:rFonts w:ascii="Calibri" w:hAnsi="Calibri" w:cs="Calibri"/>
          <w:b w:val="0"/>
          <w:bCs w:val="0"/>
          <w:color w:val="auto"/>
          <w:spacing w:val="4"/>
          <w:sz w:val="22"/>
          <w:szCs w:val="22"/>
        </w:rPr>
        <w:t>7,7</w:t>
      </w:r>
      <w:r w:rsidR="000A14AF" w:rsidRPr="000E6008">
        <w:rPr>
          <w:rFonts w:ascii="Calibri" w:hAnsi="Calibri" w:cs="Calibri"/>
          <w:b w:val="0"/>
          <w:bCs w:val="0"/>
          <w:color w:val="auto"/>
          <w:spacing w:val="4"/>
          <w:sz w:val="22"/>
          <w:szCs w:val="22"/>
        </w:rPr>
        <w:t xml:space="preserve">% </w:t>
      </w:r>
      <w:r w:rsidR="00245BCA" w:rsidRPr="000E6008">
        <w:rPr>
          <w:rFonts w:ascii="Calibri" w:hAnsi="Calibri" w:cs="Calibri"/>
          <w:b w:val="0"/>
          <w:bCs w:val="0"/>
          <w:color w:val="auto"/>
          <w:spacing w:val="4"/>
          <w:sz w:val="22"/>
          <w:szCs w:val="22"/>
        </w:rPr>
        <w:t xml:space="preserve">το </w:t>
      </w:r>
      <w:r w:rsidR="005D5AED" w:rsidRPr="000E6008">
        <w:rPr>
          <w:rFonts w:ascii="Calibri" w:hAnsi="Calibri" w:cs="Calibri"/>
          <w:b w:val="0"/>
          <w:bCs w:val="0"/>
          <w:color w:val="auto"/>
          <w:spacing w:val="4"/>
          <w:sz w:val="22"/>
          <w:szCs w:val="22"/>
        </w:rPr>
        <w:t>201</w:t>
      </w:r>
      <w:r w:rsidR="00245BCA" w:rsidRPr="000E6008">
        <w:rPr>
          <w:rFonts w:ascii="Calibri" w:hAnsi="Calibri" w:cs="Calibri"/>
          <w:b w:val="0"/>
          <w:bCs w:val="0"/>
          <w:color w:val="auto"/>
          <w:spacing w:val="4"/>
          <w:sz w:val="22"/>
          <w:szCs w:val="22"/>
        </w:rPr>
        <w:t>4,</w:t>
      </w:r>
      <w:r w:rsidR="000A14AF" w:rsidRPr="000E6008">
        <w:rPr>
          <w:rFonts w:ascii="Calibri" w:hAnsi="Calibri" w:cs="Calibri"/>
          <w:b w:val="0"/>
          <w:bCs w:val="0"/>
          <w:color w:val="auto"/>
          <w:spacing w:val="4"/>
          <w:sz w:val="22"/>
          <w:szCs w:val="22"/>
        </w:rPr>
        <w:t xml:space="preserve"> </w:t>
      </w:r>
      <w:r w:rsidR="00245BCA" w:rsidRPr="000E6008">
        <w:rPr>
          <w:rFonts w:ascii="Calibri" w:hAnsi="Calibri" w:cs="Calibri"/>
          <w:b w:val="0"/>
          <w:bCs w:val="0"/>
          <w:color w:val="auto"/>
          <w:spacing w:val="4"/>
          <w:sz w:val="22"/>
          <w:szCs w:val="22"/>
        </w:rPr>
        <w:t>αυξημένο</w:t>
      </w:r>
      <w:r w:rsidR="006B45A1" w:rsidRPr="000E6008">
        <w:rPr>
          <w:rFonts w:ascii="Calibri" w:hAnsi="Calibri" w:cs="Calibri"/>
          <w:b w:val="0"/>
          <w:bCs w:val="0"/>
          <w:color w:val="auto"/>
          <w:spacing w:val="4"/>
          <w:sz w:val="22"/>
          <w:szCs w:val="22"/>
        </w:rPr>
        <w:t xml:space="preserve"> </w:t>
      </w:r>
      <w:r w:rsidR="000A14AF" w:rsidRPr="000E6008">
        <w:rPr>
          <w:rFonts w:ascii="Calibri" w:hAnsi="Calibri" w:cs="Calibri"/>
          <w:b w:val="0"/>
          <w:bCs w:val="0"/>
          <w:color w:val="auto"/>
          <w:spacing w:val="4"/>
          <w:sz w:val="22"/>
          <w:szCs w:val="22"/>
        </w:rPr>
        <w:t xml:space="preserve">κατά </w:t>
      </w:r>
      <w:r w:rsidR="00245BCA" w:rsidRPr="000E6008">
        <w:rPr>
          <w:rFonts w:ascii="Calibri" w:hAnsi="Calibri" w:cs="Calibri"/>
          <w:b w:val="0"/>
          <w:bCs w:val="0"/>
          <w:color w:val="auto"/>
          <w:spacing w:val="4"/>
          <w:sz w:val="22"/>
          <w:szCs w:val="22"/>
        </w:rPr>
        <w:t>9,4</w:t>
      </w:r>
      <w:r w:rsidR="000A14AF" w:rsidRPr="000E6008">
        <w:rPr>
          <w:rFonts w:ascii="Calibri" w:hAnsi="Calibri" w:cs="Calibri"/>
          <w:b w:val="0"/>
          <w:bCs w:val="0"/>
          <w:color w:val="auto"/>
          <w:spacing w:val="4"/>
          <w:sz w:val="22"/>
          <w:szCs w:val="22"/>
        </w:rPr>
        <w:t xml:space="preserve"> ποσοστιαίες μονάδες σε σχέση με το</w:t>
      </w:r>
      <w:r w:rsidR="00245BCA" w:rsidRPr="000E6008">
        <w:rPr>
          <w:rFonts w:ascii="Calibri" w:hAnsi="Calibri" w:cs="Calibri"/>
          <w:b w:val="0"/>
          <w:bCs w:val="0"/>
          <w:color w:val="auto"/>
          <w:spacing w:val="4"/>
          <w:sz w:val="22"/>
          <w:szCs w:val="22"/>
        </w:rPr>
        <w:t>ν ετήσιο μέσο όρο του 2013 (38,3%)</w:t>
      </w:r>
      <w:r w:rsidR="000A14AF" w:rsidRPr="000E6008">
        <w:rPr>
          <w:rFonts w:ascii="Calibri" w:hAnsi="Calibri" w:cs="Calibri"/>
          <w:b w:val="0"/>
          <w:bCs w:val="0"/>
          <w:color w:val="auto"/>
          <w:spacing w:val="4"/>
          <w:sz w:val="22"/>
          <w:szCs w:val="22"/>
        </w:rPr>
        <w:t>.</w:t>
      </w:r>
      <w:r w:rsidRPr="000E6008">
        <w:rPr>
          <w:rFonts w:ascii="Calibri" w:hAnsi="Calibri" w:cs="Calibri"/>
          <w:b w:val="0"/>
          <w:bCs w:val="0"/>
          <w:color w:val="auto"/>
          <w:spacing w:val="4"/>
          <w:sz w:val="22"/>
          <w:szCs w:val="22"/>
        </w:rPr>
        <w:t xml:space="preserve"> </w:t>
      </w:r>
    </w:p>
    <w:p w:rsidR="002572BC" w:rsidRPr="000E6008" w:rsidRDefault="002572BC" w:rsidP="00E27141">
      <w:pPr>
        <w:pStyle w:val="Title"/>
        <w:spacing w:line="276" w:lineRule="auto"/>
        <w:ind w:left="360"/>
        <w:jc w:val="both"/>
        <w:rPr>
          <w:rFonts w:ascii="Calibri" w:hAnsi="Calibri" w:cs="Calibri"/>
          <w:b w:val="0"/>
          <w:bCs w:val="0"/>
          <w:color w:val="auto"/>
          <w:spacing w:val="4"/>
          <w:sz w:val="22"/>
          <w:szCs w:val="22"/>
        </w:rPr>
      </w:pPr>
    </w:p>
    <w:p w:rsidR="00EC3360" w:rsidRPr="000E6008" w:rsidRDefault="00EC3360" w:rsidP="00E27141">
      <w:pPr>
        <w:pStyle w:val="Title"/>
        <w:spacing w:line="276" w:lineRule="auto"/>
        <w:ind w:firstLine="360"/>
        <w:jc w:val="both"/>
        <w:rPr>
          <w:rFonts w:ascii="Calibri" w:hAnsi="Calibri" w:cs="Calibri"/>
          <w:color w:val="auto"/>
          <w:spacing w:val="4"/>
          <w:sz w:val="22"/>
          <w:szCs w:val="22"/>
        </w:rPr>
      </w:pPr>
    </w:p>
    <w:p w:rsidR="002572BC" w:rsidRPr="000E6008" w:rsidRDefault="00207B03" w:rsidP="00E27141">
      <w:pPr>
        <w:pStyle w:val="Title"/>
        <w:spacing w:line="276" w:lineRule="auto"/>
        <w:ind w:firstLine="360"/>
        <w:jc w:val="both"/>
        <w:rPr>
          <w:rFonts w:ascii="Calibri" w:hAnsi="Calibri" w:cs="Calibri"/>
          <w:color w:val="auto"/>
          <w:spacing w:val="4"/>
          <w:sz w:val="22"/>
          <w:szCs w:val="22"/>
        </w:rPr>
      </w:pPr>
      <w:r>
        <w:rPr>
          <w:rFonts w:ascii="Calibri" w:hAnsi="Calibri" w:cs="Calibri"/>
          <w:color w:val="auto"/>
          <w:spacing w:val="4"/>
          <w:sz w:val="22"/>
          <w:szCs w:val="22"/>
        </w:rPr>
        <w:t>Φεβρουάριος</w:t>
      </w:r>
      <w:r w:rsidR="00176C5F" w:rsidRPr="000E6008">
        <w:rPr>
          <w:rFonts w:ascii="Calibri" w:hAnsi="Calibri" w:cs="Calibri"/>
          <w:color w:val="auto"/>
          <w:spacing w:val="4"/>
          <w:sz w:val="22"/>
          <w:szCs w:val="22"/>
        </w:rPr>
        <w:t xml:space="preserve"> </w:t>
      </w:r>
      <w:r w:rsidR="002572BC" w:rsidRPr="000E6008">
        <w:rPr>
          <w:rFonts w:ascii="Calibri" w:hAnsi="Calibri" w:cs="Calibri"/>
          <w:color w:val="auto"/>
          <w:spacing w:val="4"/>
          <w:sz w:val="22"/>
          <w:szCs w:val="22"/>
        </w:rPr>
        <w:t>201</w:t>
      </w:r>
      <w:r w:rsidR="00617061">
        <w:rPr>
          <w:rFonts w:ascii="Calibri" w:hAnsi="Calibri" w:cs="Calibri"/>
          <w:color w:val="auto"/>
          <w:spacing w:val="4"/>
          <w:sz w:val="22"/>
          <w:szCs w:val="22"/>
        </w:rPr>
        <w:t>6</w:t>
      </w:r>
      <w:r w:rsidR="002572BC" w:rsidRPr="000E6008">
        <w:rPr>
          <w:rFonts w:ascii="Calibri" w:hAnsi="Calibri" w:cs="Calibri"/>
          <w:color w:val="auto"/>
          <w:spacing w:val="4"/>
          <w:sz w:val="22"/>
          <w:szCs w:val="22"/>
        </w:rPr>
        <w:tab/>
      </w:r>
      <w:r w:rsidR="00A44FCD" w:rsidRPr="000E6008">
        <w:rPr>
          <w:rFonts w:ascii="Calibri" w:hAnsi="Calibri" w:cs="Calibri"/>
          <w:color w:val="auto"/>
          <w:spacing w:val="4"/>
          <w:sz w:val="22"/>
          <w:szCs w:val="22"/>
        </w:rPr>
        <w:tab/>
      </w:r>
      <w:r w:rsidR="00A44FCD" w:rsidRPr="000E6008">
        <w:rPr>
          <w:rFonts w:ascii="Calibri" w:hAnsi="Calibri" w:cs="Calibri"/>
          <w:color w:val="auto"/>
          <w:spacing w:val="4"/>
          <w:sz w:val="22"/>
          <w:szCs w:val="22"/>
        </w:rPr>
        <w:tab/>
      </w:r>
      <w:r w:rsidR="002572BC" w:rsidRPr="000E6008">
        <w:rPr>
          <w:rFonts w:ascii="Calibri" w:hAnsi="Calibri" w:cs="Calibri"/>
          <w:color w:val="auto"/>
          <w:spacing w:val="4"/>
          <w:sz w:val="22"/>
          <w:szCs w:val="22"/>
        </w:rPr>
        <w:tab/>
      </w:r>
      <w:r w:rsidR="0095431E" w:rsidRPr="000E6008">
        <w:rPr>
          <w:rFonts w:ascii="Calibri" w:hAnsi="Calibri" w:cs="Calibri"/>
          <w:color w:val="auto"/>
          <w:spacing w:val="4"/>
          <w:sz w:val="22"/>
          <w:szCs w:val="22"/>
        </w:rPr>
        <w:tab/>
      </w:r>
      <w:r w:rsidR="002572BC" w:rsidRPr="000E6008">
        <w:rPr>
          <w:rFonts w:ascii="Calibri" w:hAnsi="Calibri" w:cs="Calibri"/>
          <w:color w:val="auto"/>
          <w:spacing w:val="4"/>
          <w:sz w:val="22"/>
          <w:szCs w:val="22"/>
        </w:rPr>
        <w:t>Παρατηρητήριο Αγοράς Εργασίας</w:t>
      </w:r>
    </w:p>
    <w:p w:rsidR="002572BC" w:rsidRPr="000E6008" w:rsidRDefault="002572BC" w:rsidP="00E27141">
      <w:pPr>
        <w:pStyle w:val="Title"/>
        <w:spacing w:line="276" w:lineRule="auto"/>
        <w:ind w:left="6840" w:firstLine="360"/>
        <w:rPr>
          <w:rFonts w:ascii="Calibri" w:hAnsi="Calibri" w:cs="Calibri"/>
          <w:color w:val="auto"/>
          <w:spacing w:val="4"/>
          <w:sz w:val="22"/>
          <w:szCs w:val="22"/>
        </w:rPr>
      </w:pPr>
      <w:r w:rsidRPr="000E6008">
        <w:rPr>
          <w:rFonts w:ascii="Calibri" w:hAnsi="Calibri" w:cs="Calibri"/>
          <w:color w:val="auto"/>
          <w:spacing w:val="4"/>
          <w:sz w:val="22"/>
          <w:szCs w:val="22"/>
        </w:rPr>
        <w:t>Τμήμα</w:t>
      </w:r>
      <w:r w:rsidR="0095431E" w:rsidRPr="000E6008">
        <w:rPr>
          <w:rFonts w:ascii="Calibri" w:hAnsi="Calibri" w:cs="Calibri"/>
          <w:color w:val="auto"/>
          <w:spacing w:val="4"/>
          <w:sz w:val="22"/>
          <w:szCs w:val="22"/>
        </w:rPr>
        <w:t xml:space="preserve"> </w:t>
      </w:r>
      <w:r w:rsidRPr="000E6008">
        <w:rPr>
          <w:rFonts w:ascii="Calibri" w:hAnsi="Calibri" w:cs="Calibri"/>
          <w:color w:val="auto"/>
          <w:spacing w:val="4"/>
          <w:sz w:val="22"/>
          <w:szCs w:val="22"/>
        </w:rPr>
        <w:t>Εργασίας</w:t>
      </w:r>
    </w:p>
    <w:p w:rsidR="007C3020" w:rsidRPr="000E6008" w:rsidRDefault="007C3020" w:rsidP="00E27141">
      <w:pPr>
        <w:spacing w:line="276" w:lineRule="auto"/>
        <w:jc w:val="both"/>
        <w:rPr>
          <w:rFonts w:ascii="Calibri" w:hAnsi="Calibri" w:cs="Calibri"/>
          <w:b w:val="0"/>
          <w:bCs w:val="0"/>
          <w:color w:val="auto"/>
          <w:sz w:val="18"/>
          <w:szCs w:val="18"/>
          <w:lang w:val="el-GR"/>
        </w:rPr>
      </w:pPr>
    </w:p>
    <w:p w:rsidR="00E27141" w:rsidRPr="00E44498" w:rsidRDefault="00E27141" w:rsidP="00EC3360">
      <w:pPr>
        <w:spacing w:line="276" w:lineRule="auto"/>
        <w:ind w:left="142"/>
        <w:jc w:val="both"/>
        <w:rPr>
          <w:rFonts w:ascii="Calibri" w:hAnsi="Calibri" w:cs="Calibri"/>
          <w:b w:val="0"/>
          <w:bCs w:val="0"/>
          <w:color w:val="C00000"/>
          <w:sz w:val="18"/>
          <w:szCs w:val="18"/>
          <w:lang w:val="el-GR"/>
        </w:rPr>
      </w:pPr>
    </w:p>
    <w:p w:rsidR="00E27141" w:rsidRPr="00E44498" w:rsidRDefault="00E27141" w:rsidP="00EC3360">
      <w:pPr>
        <w:spacing w:line="276" w:lineRule="auto"/>
        <w:ind w:left="142"/>
        <w:jc w:val="both"/>
        <w:rPr>
          <w:rFonts w:ascii="Calibri" w:hAnsi="Calibri" w:cs="Calibri"/>
          <w:b w:val="0"/>
          <w:bCs w:val="0"/>
          <w:color w:val="C00000"/>
          <w:sz w:val="18"/>
          <w:szCs w:val="18"/>
          <w:lang w:val="el-GR"/>
        </w:rPr>
      </w:pPr>
    </w:p>
    <w:p w:rsidR="00E27141" w:rsidRPr="00E44498" w:rsidRDefault="00E27141" w:rsidP="00EC3360">
      <w:pPr>
        <w:spacing w:line="276" w:lineRule="auto"/>
        <w:ind w:left="142"/>
        <w:jc w:val="both"/>
        <w:rPr>
          <w:rFonts w:ascii="Calibri" w:hAnsi="Calibri" w:cs="Calibri"/>
          <w:b w:val="0"/>
          <w:bCs w:val="0"/>
          <w:color w:val="C00000"/>
          <w:sz w:val="18"/>
          <w:szCs w:val="18"/>
          <w:lang w:val="el-GR"/>
        </w:rPr>
      </w:pPr>
    </w:p>
    <w:p w:rsidR="00E27141" w:rsidRPr="00E44498" w:rsidRDefault="00E27141" w:rsidP="00EC3360">
      <w:pPr>
        <w:spacing w:line="276" w:lineRule="auto"/>
        <w:ind w:left="142"/>
        <w:jc w:val="both"/>
        <w:rPr>
          <w:rFonts w:ascii="Calibri" w:hAnsi="Calibri" w:cs="Calibri"/>
          <w:b w:val="0"/>
          <w:bCs w:val="0"/>
          <w:color w:val="C00000"/>
          <w:sz w:val="18"/>
          <w:szCs w:val="18"/>
          <w:lang w:val="el-GR"/>
        </w:rPr>
      </w:pPr>
    </w:p>
    <w:p w:rsidR="00E27141" w:rsidRPr="00E44498" w:rsidRDefault="00E27141" w:rsidP="00EC3360">
      <w:pPr>
        <w:spacing w:line="276" w:lineRule="auto"/>
        <w:ind w:left="142"/>
        <w:jc w:val="both"/>
        <w:rPr>
          <w:rFonts w:ascii="Calibri" w:hAnsi="Calibri" w:cs="Calibri"/>
          <w:b w:val="0"/>
          <w:bCs w:val="0"/>
          <w:color w:val="C00000"/>
          <w:sz w:val="18"/>
          <w:szCs w:val="18"/>
          <w:lang w:val="el-GR"/>
        </w:rPr>
      </w:pPr>
    </w:p>
    <w:p w:rsidR="00E27141" w:rsidRPr="00E44498" w:rsidRDefault="00E27141" w:rsidP="00EC3360">
      <w:pPr>
        <w:spacing w:line="276" w:lineRule="auto"/>
        <w:ind w:left="142"/>
        <w:jc w:val="both"/>
        <w:rPr>
          <w:rFonts w:ascii="Calibri" w:hAnsi="Calibri" w:cs="Calibri"/>
          <w:b w:val="0"/>
          <w:bCs w:val="0"/>
          <w:color w:val="C00000"/>
          <w:sz w:val="18"/>
          <w:szCs w:val="18"/>
          <w:lang w:val="el-GR"/>
        </w:rPr>
      </w:pPr>
    </w:p>
    <w:p w:rsidR="00E27141" w:rsidRPr="00E44498" w:rsidRDefault="00E27141" w:rsidP="00EC3360">
      <w:pPr>
        <w:spacing w:line="276" w:lineRule="auto"/>
        <w:ind w:left="142"/>
        <w:jc w:val="both"/>
        <w:rPr>
          <w:rFonts w:ascii="Calibri" w:hAnsi="Calibri" w:cs="Calibri"/>
          <w:b w:val="0"/>
          <w:bCs w:val="0"/>
          <w:color w:val="C00000"/>
          <w:sz w:val="18"/>
          <w:szCs w:val="18"/>
          <w:lang w:val="el-GR"/>
        </w:rPr>
      </w:pPr>
    </w:p>
    <w:p w:rsidR="00E27141" w:rsidRPr="00E44498" w:rsidRDefault="00E27141" w:rsidP="00EC3360">
      <w:pPr>
        <w:spacing w:line="276" w:lineRule="auto"/>
        <w:ind w:left="142"/>
        <w:jc w:val="both"/>
        <w:rPr>
          <w:rFonts w:ascii="Calibri" w:hAnsi="Calibri" w:cs="Calibri"/>
          <w:b w:val="0"/>
          <w:bCs w:val="0"/>
          <w:color w:val="C00000"/>
          <w:sz w:val="18"/>
          <w:szCs w:val="18"/>
          <w:lang w:val="el-GR"/>
        </w:rPr>
      </w:pPr>
    </w:p>
    <w:p w:rsidR="005B7E50" w:rsidRPr="00E44498" w:rsidRDefault="005B7E50" w:rsidP="00AE02A7">
      <w:pPr>
        <w:spacing w:line="276" w:lineRule="auto"/>
        <w:jc w:val="both"/>
        <w:rPr>
          <w:rFonts w:ascii="Calibri" w:hAnsi="Calibri" w:cs="Calibri"/>
          <w:b w:val="0"/>
          <w:bCs w:val="0"/>
          <w:color w:val="C00000"/>
          <w:sz w:val="18"/>
          <w:szCs w:val="18"/>
          <w:lang w:val="el-GR"/>
        </w:rPr>
      </w:pPr>
    </w:p>
    <w:p w:rsidR="00617061" w:rsidRDefault="00617061" w:rsidP="00AE02A7">
      <w:pPr>
        <w:spacing w:line="276" w:lineRule="auto"/>
        <w:jc w:val="both"/>
        <w:rPr>
          <w:rFonts w:ascii="Calibri" w:hAnsi="Calibri" w:cs="Calibri"/>
          <w:b w:val="0"/>
          <w:bCs w:val="0"/>
          <w:color w:val="auto"/>
          <w:sz w:val="18"/>
          <w:szCs w:val="18"/>
          <w:lang w:val="el-GR"/>
        </w:rPr>
      </w:pPr>
    </w:p>
    <w:p w:rsidR="00617061" w:rsidRDefault="00617061" w:rsidP="00AE02A7">
      <w:pPr>
        <w:spacing w:line="276" w:lineRule="auto"/>
        <w:jc w:val="both"/>
        <w:rPr>
          <w:rFonts w:ascii="Calibri" w:hAnsi="Calibri" w:cs="Calibri"/>
          <w:b w:val="0"/>
          <w:bCs w:val="0"/>
          <w:color w:val="auto"/>
          <w:sz w:val="18"/>
          <w:szCs w:val="18"/>
          <w:lang w:val="el-GR"/>
        </w:rPr>
      </w:pPr>
    </w:p>
    <w:p w:rsidR="00617061" w:rsidRDefault="00617061" w:rsidP="00AE02A7">
      <w:pPr>
        <w:spacing w:line="276" w:lineRule="auto"/>
        <w:jc w:val="both"/>
        <w:rPr>
          <w:rFonts w:ascii="Calibri" w:hAnsi="Calibri" w:cs="Calibri"/>
          <w:b w:val="0"/>
          <w:bCs w:val="0"/>
          <w:color w:val="auto"/>
          <w:sz w:val="18"/>
          <w:szCs w:val="18"/>
          <w:lang w:val="el-GR"/>
        </w:rPr>
      </w:pPr>
    </w:p>
    <w:p w:rsidR="00617061" w:rsidRDefault="00617061" w:rsidP="00AE02A7">
      <w:pPr>
        <w:spacing w:line="276" w:lineRule="auto"/>
        <w:jc w:val="both"/>
        <w:rPr>
          <w:rFonts w:ascii="Calibri" w:hAnsi="Calibri" w:cs="Calibri"/>
          <w:b w:val="0"/>
          <w:bCs w:val="0"/>
          <w:color w:val="auto"/>
          <w:sz w:val="18"/>
          <w:szCs w:val="18"/>
          <w:lang w:val="el-GR"/>
        </w:rPr>
      </w:pPr>
    </w:p>
    <w:p w:rsidR="00617061" w:rsidRDefault="00617061"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FD6F6D" w:rsidRDefault="00FD6F6D" w:rsidP="00AE02A7">
      <w:pPr>
        <w:spacing w:line="276" w:lineRule="auto"/>
        <w:jc w:val="both"/>
        <w:rPr>
          <w:rFonts w:ascii="Calibri" w:hAnsi="Calibri" w:cs="Calibri"/>
          <w:b w:val="0"/>
          <w:bCs w:val="0"/>
          <w:color w:val="auto"/>
          <w:sz w:val="18"/>
          <w:szCs w:val="18"/>
          <w:lang w:val="el-GR"/>
        </w:rPr>
      </w:pPr>
    </w:p>
    <w:p w:rsidR="002572BC" w:rsidRPr="00617061" w:rsidRDefault="002572BC" w:rsidP="00AE02A7">
      <w:pPr>
        <w:spacing w:line="276" w:lineRule="auto"/>
        <w:jc w:val="both"/>
        <w:rPr>
          <w:rFonts w:ascii="Calibri" w:hAnsi="Calibri" w:cs="Calibri"/>
          <w:b w:val="0"/>
          <w:bCs w:val="0"/>
          <w:color w:val="auto"/>
          <w:sz w:val="18"/>
          <w:szCs w:val="18"/>
        </w:rPr>
      </w:pPr>
      <w:bookmarkStart w:id="0" w:name="_GoBack"/>
      <w:bookmarkEnd w:id="0"/>
      <w:proofErr w:type="spellStart"/>
      <w:r w:rsidRPr="001A306D">
        <w:rPr>
          <w:rFonts w:ascii="Calibri" w:hAnsi="Calibri" w:cs="Calibri"/>
          <w:b w:val="0"/>
          <w:bCs w:val="0"/>
          <w:color w:val="auto"/>
          <w:sz w:val="18"/>
          <w:szCs w:val="18"/>
          <w:lang w:val="el-GR"/>
        </w:rPr>
        <w:t>ΜΡη</w:t>
      </w:r>
      <w:proofErr w:type="spellEnd"/>
      <w:r w:rsidRPr="00617061">
        <w:rPr>
          <w:rFonts w:ascii="Calibri" w:hAnsi="Calibri" w:cs="Calibri"/>
          <w:b w:val="0"/>
          <w:bCs w:val="0"/>
          <w:color w:val="auto"/>
          <w:sz w:val="18"/>
          <w:szCs w:val="18"/>
        </w:rPr>
        <w:t>,</w:t>
      </w:r>
      <w:r w:rsidR="00680553">
        <w:rPr>
          <w:rFonts w:ascii="Calibri" w:hAnsi="Calibri" w:cs="Calibri"/>
          <w:b w:val="0"/>
          <w:bCs w:val="0"/>
          <w:color w:val="auto"/>
          <w:sz w:val="18"/>
          <w:szCs w:val="18"/>
        </w:rPr>
        <w:fldChar w:fldCharType="begin"/>
      </w:r>
      <w:r w:rsidR="00680553">
        <w:rPr>
          <w:rFonts w:ascii="Calibri" w:hAnsi="Calibri" w:cs="Calibri"/>
          <w:b w:val="0"/>
          <w:bCs w:val="0"/>
          <w:color w:val="auto"/>
          <w:sz w:val="18"/>
          <w:szCs w:val="18"/>
        </w:rPr>
        <w:instrText xml:space="preserve"> FILENAME  \p  \* MERGEFORMAT </w:instrText>
      </w:r>
      <w:r w:rsidR="00680553">
        <w:rPr>
          <w:rFonts w:ascii="Calibri" w:hAnsi="Calibri" w:cs="Calibri"/>
          <w:b w:val="0"/>
          <w:bCs w:val="0"/>
          <w:color w:val="auto"/>
          <w:sz w:val="18"/>
          <w:szCs w:val="18"/>
        </w:rPr>
        <w:fldChar w:fldCharType="separate"/>
      </w:r>
      <w:r w:rsidR="00680553">
        <w:rPr>
          <w:rFonts w:ascii="Calibri" w:hAnsi="Calibri" w:cs="Calibri"/>
          <w:b w:val="0"/>
          <w:bCs w:val="0"/>
          <w:noProof/>
          <w:color w:val="auto"/>
          <w:sz w:val="18"/>
          <w:szCs w:val="18"/>
        </w:rPr>
        <w:t>C:\Users\Administrator\M RIGOU\Ανεργία - Μηνιαίες Εκθέσεις\2016 registered unemployed-monthly reports\January 2016\Reports\Παράρτημα Ι report.docx</w:t>
      </w:r>
      <w:r w:rsidR="00680553">
        <w:rPr>
          <w:rFonts w:ascii="Calibri" w:hAnsi="Calibri" w:cs="Calibri"/>
          <w:b w:val="0"/>
          <w:bCs w:val="0"/>
          <w:color w:val="auto"/>
          <w:sz w:val="18"/>
          <w:szCs w:val="18"/>
        </w:rPr>
        <w:fldChar w:fldCharType="end"/>
      </w:r>
      <w:r w:rsidRPr="00617061">
        <w:rPr>
          <w:rFonts w:ascii="Calibri" w:hAnsi="Calibri" w:cs="Calibri"/>
          <w:b w:val="0"/>
          <w:bCs w:val="0"/>
          <w:color w:val="auto"/>
          <w:sz w:val="18"/>
          <w:szCs w:val="18"/>
        </w:rPr>
        <w:tab/>
      </w:r>
    </w:p>
    <w:sectPr w:rsidR="002572BC" w:rsidRPr="00617061" w:rsidSect="002B08DA">
      <w:headerReference w:type="default" r:id="rId16"/>
      <w:footerReference w:type="default" r:id="rId17"/>
      <w:pgSz w:w="11907" w:h="16839" w:code="9"/>
      <w:pgMar w:top="1440" w:right="1559" w:bottom="1440" w:left="1080" w:header="706" w:footer="401" w:gutter="23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0B" w:rsidRDefault="0060770B">
      <w:r>
        <w:separator/>
      </w:r>
    </w:p>
  </w:endnote>
  <w:endnote w:type="continuationSeparator" w:id="0">
    <w:p w:rsidR="0060770B" w:rsidRDefault="0060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BC" w:rsidRPr="00D86598" w:rsidRDefault="005901B8">
    <w:pPr>
      <w:pStyle w:val="Footer"/>
      <w:jc w:val="right"/>
      <w:rPr>
        <w:sz w:val="20"/>
        <w:szCs w:val="20"/>
      </w:rPr>
    </w:pPr>
    <w:r w:rsidRPr="00D86598">
      <w:rPr>
        <w:sz w:val="20"/>
        <w:szCs w:val="20"/>
      </w:rPr>
      <w:fldChar w:fldCharType="begin"/>
    </w:r>
    <w:r w:rsidR="002572BC" w:rsidRPr="00D86598">
      <w:rPr>
        <w:sz w:val="20"/>
        <w:szCs w:val="20"/>
      </w:rPr>
      <w:instrText xml:space="preserve"> PAGE   \* MERGEFORMAT </w:instrText>
    </w:r>
    <w:r w:rsidRPr="00D86598">
      <w:rPr>
        <w:sz w:val="20"/>
        <w:szCs w:val="20"/>
      </w:rPr>
      <w:fldChar w:fldCharType="separate"/>
    </w:r>
    <w:r w:rsidR="00FD6F6D">
      <w:rPr>
        <w:noProof/>
        <w:sz w:val="20"/>
        <w:szCs w:val="20"/>
      </w:rPr>
      <w:t>7</w:t>
    </w:r>
    <w:r w:rsidRPr="00D86598">
      <w:rPr>
        <w:sz w:val="20"/>
        <w:szCs w:val="20"/>
      </w:rPr>
      <w:fldChar w:fldCharType="end"/>
    </w:r>
  </w:p>
  <w:p w:rsidR="002572BC" w:rsidRDefault="002572BC" w:rsidP="00E1739D">
    <w:pPr>
      <w:pStyle w:val="Footer"/>
      <w:ind w:right="360"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0B" w:rsidRDefault="0060770B">
      <w:r>
        <w:separator/>
      </w:r>
    </w:p>
  </w:footnote>
  <w:footnote w:type="continuationSeparator" w:id="0">
    <w:p w:rsidR="0060770B" w:rsidRDefault="0060770B">
      <w:r>
        <w:continuationSeparator/>
      </w:r>
    </w:p>
  </w:footnote>
  <w:footnote w:id="1">
    <w:p w:rsidR="002572BC" w:rsidRPr="00DE7394" w:rsidRDefault="002572BC" w:rsidP="003F6AB1">
      <w:pPr>
        <w:pStyle w:val="FootnoteText"/>
        <w:spacing w:before="80"/>
        <w:rPr>
          <w:lang w:val="el-GR"/>
        </w:rPr>
      </w:pPr>
      <w:r>
        <w:rPr>
          <w:rStyle w:val="FootnoteReference"/>
        </w:rPr>
        <w:footnoteRef/>
      </w:r>
      <w:r>
        <w:rPr>
          <w:lang w:val="el-GR"/>
        </w:rPr>
        <w:t xml:space="preserve">Η εγγεγραμμένη ανεργία αφορά μόνο τους ανέργους που εγγράφονται στα κατά τόπους Γραφεία Εργασίας και ως εκ τούτου δεν είναι αντιπροσωπευτική της συνολικής ανεργίας. </w:t>
      </w:r>
    </w:p>
  </w:footnote>
  <w:footnote w:id="2">
    <w:p w:rsidR="002572BC" w:rsidRPr="00DE7394" w:rsidRDefault="002572BC" w:rsidP="003F6AB1">
      <w:pPr>
        <w:pStyle w:val="FootnoteText"/>
        <w:jc w:val="both"/>
        <w:rPr>
          <w:lang w:val="el-GR"/>
        </w:rPr>
      </w:pPr>
      <w:r>
        <w:rPr>
          <w:rStyle w:val="FootnoteReference"/>
        </w:rPr>
        <w:footnoteRef/>
      </w:r>
      <w:r>
        <w:rPr>
          <w:lang w:val="el-GR"/>
        </w:rPr>
        <w:t xml:space="preserve">Τα στοιχεία της </w:t>
      </w:r>
      <w:r>
        <w:t>EUROSTAT</w:t>
      </w:r>
      <w:r>
        <w:rPr>
          <w:lang w:val="el-GR"/>
        </w:rPr>
        <w:t xml:space="preserve"> είναι </w:t>
      </w:r>
      <w:r w:rsidRPr="00AF31D1">
        <w:rPr>
          <w:rFonts w:ascii="Calibri" w:hAnsi="Calibri" w:cs="Calibri"/>
          <w:color w:val="auto"/>
          <w:sz w:val="22"/>
          <w:szCs w:val="22"/>
          <w:lang w:val="el-GR"/>
        </w:rPr>
        <w:t>προκαταρκτικά</w:t>
      </w:r>
      <w:r>
        <w:rPr>
          <w:rFonts w:ascii="Calibri" w:hAnsi="Calibri" w:cs="Calibri"/>
          <w:color w:val="auto"/>
          <w:sz w:val="22"/>
          <w:szCs w:val="22"/>
          <w:lang w:val="el-GR"/>
        </w:rPr>
        <w:t>,</w:t>
      </w:r>
      <w:r w:rsidRPr="00AF31D1">
        <w:rPr>
          <w:rFonts w:ascii="Calibri" w:hAnsi="Calibri" w:cs="Calibri"/>
          <w:color w:val="auto"/>
          <w:sz w:val="22"/>
          <w:szCs w:val="22"/>
          <w:lang w:val="el-GR"/>
        </w:rPr>
        <w:t xml:space="preserve"> αποτελούν πρόβλεψη</w:t>
      </w:r>
      <w:r>
        <w:rPr>
          <w:rFonts w:ascii="Calibri" w:hAnsi="Calibri" w:cs="Calibri"/>
          <w:color w:val="auto"/>
          <w:sz w:val="22"/>
          <w:szCs w:val="22"/>
          <w:lang w:val="el-GR"/>
        </w:rPr>
        <w:t xml:space="preserve"> και είναι</w:t>
      </w:r>
      <w:r>
        <w:rPr>
          <w:lang w:val="el-GR"/>
        </w:rPr>
        <w:t xml:space="preserve"> διαθέσιμα με ένα μήνα καθυστέρηση.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5A" w:rsidRDefault="0022145A">
    <w:pPr>
      <w:pStyle w:val="Header"/>
      <w:rPr>
        <w:lang w:val="el-GR"/>
      </w:rPr>
    </w:pPr>
  </w:p>
  <w:p w:rsidR="0022145A" w:rsidRPr="0022145A" w:rsidRDefault="0022145A">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DC7"/>
    <w:multiLevelType w:val="hybridMultilevel"/>
    <w:tmpl w:val="EEEC9686"/>
    <w:lvl w:ilvl="0" w:tplc="E7F8B79C">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B77B59"/>
    <w:multiLevelType w:val="hybridMultilevel"/>
    <w:tmpl w:val="D6D2CE04"/>
    <w:lvl w:ilvl="0" w:tplc="1884CDF2">
      <w:start w:val="1"/>
      <w:numFmt w:val="bullet"/>
      <w:lvlText w:val="-"/>
      <w:lvlJc w:val="left"/>
      <w:pPr>
        <w:tabs>
          <w:tab w:val="num" w:pos="1180"/>
        </w:tabs>
        <w:ind w:left="1180" w:hanging="216"/>
      </w:pPr>
      <w:rPr>
        <w:rFonts w:ascii="Courier New" w:hAnsi="Courier New" w:cs="Courier New"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2">
    <w:nsid w:val="0D801743"/>
    <w:multiLevelType w:val="hybridMultilevel"/>
    <w:tmpl w:val="75523B5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2A5FE1"/>
    <w:multiLevelType w:val="hybridMultilevel"/>
    <w:tmpl w:val="02B41BA6"/>
    <w:lvl w:ilvl="0" w:tplc="0409000B">
      <w:start w:val="1"/>
      <w:numFmt w:val="bullet"/>
      <w:lvlText w:val=""/>
      <w:lvlJc w:val="left"/>
      <w:pPr>
        <w:ind w:left="720" w:hanging="360"/>
      </w:pPr>
      <w:rPr>
        <w:rFonts w:ascii="Wingdings" w:hAnsi="Wingdings"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20204C6"/>
    <w:multiLevelType w:val="hybridMultilevel"/>
    <w:tmpl w:val="79DEA1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7260AA"/>
    <w:multiLevelType w:val="hybridMultilevel"/>
    <w:tmpl w:val="2E361C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20D126A3"/>
    <w:multiLevelType w:val="hybridMultilevel"/>
    <w:tmpl w:val="C6C05040"/>
    <w:lvl w:ilvl="0" w:tplc="E7F8B79C">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22EC7F57"/>
    <w:multiLevelType w:val="hybridMultilevel"/>
    <w:tmpl w:val="26F61AEA"/>
    <w:lvl w:ilvl="0" w:tplc="E7F8B79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3356BDE"/>
    <w:multiLevelType w:val="hybridMultilevel"/>
    <w:tmpl w:val="DE4815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4D06F59"/>
    <w:multiLevelType w:val="hybridMultilevel"/>
    <w:tmpl w:val="04D24F5C"/>
    <w:lvl w:ilvl="0" w:tplc="C406AE26">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2BD00E93"/>
    <w:multiLevelType w:val="hybridMultilevel"/>
    <w:tmpl w:val="B58AFDBE"/>
    <w:lvl w:ilvl="0" w:tplc="0AE8C130">
      <w:start w:val="1"/>
      <w:numFmt w:val="decimal"/>
      <w:lvlText w:val="%1."/>
      <w:lvlJc w:val="left"/>
      <w:pPr>
        <w:ind w:left="792" w:hanging="360"/>
      </w:pPr>
      <w:rPr>
        <w:rFonts w:hint="default"/>
        <w:b/>
        <w:bCs/>
        <w:i w:val="0"/>
        <w:iCs w:val="0"/>
      </w:rPr>
    </w:lvl>
    <w:lvl w:ilvl="1" w:tplc="04090001">
      <w:start w:val="1"/>
      <w:numFmt w:val="bullet"/>
      <w:lvlText w:val=""/>
      <w:lvlJc w:val="left"/>
      <w:pPr>
        <w:tabs>
          <w:tab w:val="num" w:pos="1512"/>
        </w:tabs>
        <w:ind w:left="1512" w:hanging="360"/>
      </w:pPr>
      <w:rPr>
        <w:rFonts w:ascii="Symbol" w:hAnsi="Symbol" w:cs="Symbol" w:hint="default"/>
        <w:b/>
        <w:bCs/>
      </w:r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1">
    <w:nsid w:val="2E9D7C94"/>
    <w:multiLevelType w:val="hybridMultilevel"/>
    <w:tmpl w:val="BBEA74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24955A0"/>
    <w:multiLevelType w:val="hybridMultilevel"/>
    <w:tmpl w:val="5F8E3A82"/>
    <w:lvl w:ilvl="0" w:tplc="2AE86028">
      <w:start w:val="1"/>
      <w:numFmt w:val="bullet"/>
      <w:lvlText w:val=""/>
      <w:lvlJc w:val="left"/>
      <w:pPr>
        <w:ind w:left="720" w:hanging="360"/>
      </w:pPr>
      <w:rPr>
        <w:rFonts w:ascii="Symbol" w:hAnsi="Symbol" w:cs="Symbol"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2581389"/>
    <w:multiLevelType w:val="hybridMultilevel"/>
    <w:tmpl w:val="5E3A73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54D0E0B"/>
    <w:multiLevelType w:val="hybridMultilevel"/>
    <w:tmpl w:val="FFF638D2"/>
    <w:lvl w:ilvl="0" w:tplc="E7F8B79C">
      <w:start w:val="1"/>
      <w:numFmt w:val="bullet"/>
      <w:lvlText w:val=""/>
      <w:lvlJc w:val="left"/>
      <w:pPr>
        <w:ind w:left="720" w:hanging="360"/>
      </w:pPr>
      <w:rPr>
        <w:rFonts w:ascii="Symbol" w:hAnsi="Symbol" w:cs="Symbol"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B7652A2"/>
    <w:multiLevelType w:val="hybridMultilevel"/>
    <w:tmpl w:val="60CC11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BD102A0"/>
    <w:multiLevelType w:val="hybridMultilevel"/>
    <w:tmpl w:val="B2700208"/>
    <w:lvl w:ilvl="0" w:tplc="E7F8B79C">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7">
    <w:nsid w:val="3E4F1A07"/>
    <w:multiLevelType w:val="hybridMultilevel"/>
    <w:tmpl w:val="BE4AB1CA"/>
    <w:lvl w:ilvl="0" w:tplc="0409000B">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9591094"/>
    <w:multiLevelType w:val="hybridMultilevel"/>
    <w:tmpl w:val="6BFC2754"/>
    <w:lvl w:ilvl="0" w:tplc="2AE8602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DD4095A"/>
    <w:multiLevelType w:val="hybridMultilevel"/>
    <w:tmpl w:val="853248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1A28C6"/>
    <w:multiLevelType w:val="hybridMultilevel"/>
    <w:tmpl w:val="060070D4"/>
    <w:lvl w:ilvl="0" w:tplc="CD085184">
      <w:start w:val="1"/>
      <w:numFmt w:val="decimal"/>
      <w:lvlText w:val="%1."/>
      <w:lvlJc w:val="left"/>
      <w:pPr>
        <w:tabs>
          <w:tab w:val="num" w:pos="720"/>
        </w:tabs>
        <w:ind w:left="720" w:hanging="360"/>
      </w:pPr>
      <w:rPr>
        <w:rFonts w:hint="default"/>
        <w:b/>
        <w:bCs/>
        <w:i w:val="0"/>
        <w:iCs w:val="0"/>
      </w:rPr>
    </w:lvl>
    <w:lvl w:ilvl="1" w:tplc="3A30AEBA">
      <w:start w:val="1"/>
      <w:numFmt w:val="bullet"/>
      <w:lvlText w:val=""/>
      <w:lvlJc w:val="left"/>
      <w:pPr>
        <w:tabs>
          <w:tab w:val="num" w:pos="1440"/>
        </w:tabs>
        <w:ind w:left="1440" w:hanging="360"/>
      </w:pPr>
      <w:rPr>
        <w:rFonts w:ascii="Symbol" w:hAnsi="Symbol" w:cs="Symbol"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0284DFC"/>
    <w:multiLevelType w:val="hybridMultilevel"/>
    <w:tmpl w:val="BE8697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4601E55"/>
    <w:multiLevelType w:val="hybridMultilevel"/>
    <w:tmpl w:val="D93EE190"/>
    <w:lvl w:ilvl="0" w:tplc="E7F8B79C">
      <w:start w:val="1"/>
      <w:numFmt w:val="bullet"/>
      <w:lvlText w:val=""/>
      <w:lvlJc w:val="left"/>
      <w:pPr>
        <w:ind w:left="1487" w:hanging="360"/>
      </w:pPr>
      <w:rPr>
        <w:rFonts w:ascii="Symbol" w:hAnsi="Symbol" w:cs="Symbol" w:hint="default"/>
      </w:rPr>
    </w:lvl>
    <w:lvl w:ilvl="1" w:tplc="04090003">
      <w:start w:val="1"/>
      <w:numFmt w:val="bullet"/>
      <w:lvlText w:val="o"/>
      <w:lvlJc w:val="left"/>
      <w:pPr>
        <w:ind w:left="2207" w:hanging="360"/>
      </w:pPr>
      <w:rPr>
        <w:rFonts w:ascii="Courier New" w:hAnsi="Courier New" w:cs="Courier New" w:hint="default"/>
      </w:rPr>
    </w:lvl>
    <w:lvl w:ilvl="2" w:tplc="04090005">
      <w:start w:val="1"/>
      <w:numFmt w:val="bullet"/>
      <w:lvlText w:val=""/>
      <w:lvlJc w:val="left"/>
      <w:pPr>
        <w:ind w:left="2927" w:hanging="360"/>
      </w:pPr>
      <w:rPr>
        <w:rFonts w:ascii="Wingdings" w:hAnsi="Wingdings" w:cs="Wingdings" w:hint="default"/>
      </w:rPr>
    </w:lvl>
    <w:lvl w:ilvl="3" w:tplc="04090001">
      <w:start w:val="1"/>
      <w:numFmt w:val="bullet"/>
      <w:lvlText w:val=""/>
      <w:lvlJc w:val="left"/>
      <w:pPr>
        <w:ind w:left="3647" w:hanging="360"/>
      </w:pPr>
      <w:rPr>
        <w:rFonts w:ascii="Symbol" w:hAnsi="Symbol" w:cs="Symbol" w:hint="default"/>
      </w:rPr>
    </w:lvl>
    <w:lvl w:ilvl="4" w:tplc="04090003">
      <w:start w:val="1"/>
      <w:numFmt w:val="bullet"/>
      <w:lvlText w:val="o"/>
      <w:lvlJc w:val="left"/>
      <w:pPr>
        <w:ind w:left="4367" w:hanging="360"/>
      </w:pPr>
      <w:rPr>
        <w:rFonts w:ascii="Courier New" w:hAnsi="Courier New" w:cs="Courier New" w:hint="default"/>
      </w:rPr>
    </w:lvl>
    <w:lvl w:ilvl="5" w:tplc="04090005">
      <w:start w:val="1"/>
      <w:numFmt w:val="bullet"/>
      <w:lvlText w:val=""/>
      <w:lvlJc w:val="left"/>
      <w:pPr>
        <w:ind w:left="5087" w:hanging="360"/>
      </w:pPr>
      <w:rPr>
        <w:rFonts w:ascii="Wingdings" w:hAnsi="Wingdings" w:cs="Wingdings" w:hint="default"/>
      </w:rPr>
    </w:lvl>
    <w:lvl w:ilvl="6" w:tplc="04090001">
      <w:start w:val="1"/>
      <w:numFmt w:val="bullet"/>
      <w:lvlText w:val=""/>
      <w:lvlJc w:val="left"/>
      <w:pPr>
        <w:ind w:left="5807" w:hanging="360"/>
      </w:pPr>
      <w:rPr>
        <w:rFonts w:ascii="Symbol" w:hAnsi="Symbol" w:cs="Symbol" w:hint="default"/>
      </w:rPr>
    </w:lvl>
    <w:lvl w:ilvl="7" w:tplc="04090003">
      <w:start w:val="1"/>
      <w:numFmt w:val="bullet"/>
      <w:lvlText w:val="o"/>
      <w:lvlJc w:val="left"/>
      <w:pPr>
        <w:ind w:left="6527" w:hanging="360"/>
      </w:pPr>
      <w:rPr>
        <w:rFonts w:ascii="Courier New" w:hAnsi="Courier New" w:cs="Courier New" w:hint="default"/>
      </w:rPr>
    </w:lvl>
    <w:lvl w:ilvl="8" w:tplc="04090005">
      <w:start w:val="1"/>
      <w:numFmt w:val="bullet"/>
      <w:lvlText w:val=""/>
      <w:lvlJc w:val="left"/>
      <w:pPr>
        <w:ind w:left="7247" w:hanging="360"/>
      </w:pPr>
      <w:rPr>
        <w:rFonts w:ascii="Wingdings" w:hAnsi="Wingdings" w:cs="Wingdings" w:hint="default"/>
      </w:rPr>
    </w:lvl>
  </w:abstractNum>
  <w:abstractNum w:abstractNumId="23">
    <w:nsid w:val="56E439FB"/>
    <w:multiLevelType w:val="hybridMultilevel"/>
    <w:tmpl w:val="3FF62094"/>
    <w:lvl w:ilvl="0" w:tplc="0409000B">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CDC2AE6"/>
    <w:multiLevelType w:val="hybridMultilevel"/>
    <w:tmpl w:val="ADA66E18"/>
    <w:lvl w:ilvl="0" w:tplc="0409000B">
      <w:start w:val="1"/>
      <w:numFmt w:val="bullet"/>
      <w:lvlText w:val=""/>
      <w:lvlJc w:val="left"/>
      <w:pPr>
        <w:ind w:left="720" w:hanging="360"/>
      </w:pPr>
      <w:rPr>
        <w:rFonts w:ascii="Wingdings" w:hAnsi="Wingdings" w:cs="Wingdings"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CE33452"/>
    <w:multiLevelType w:val="hybridMultilevel"/>
    <w:tmpl w:val="05AE2B0E"/>
    <w:lvl w:ilvl="0" w:tplc="3A30AEBA">
      <w:start w:val="1"/>
      <w:numFmt w:val="bullet"/>
      <w:lvlText w:val=""/>
      <w:lvlJc w:val="left"/>
      <w:pPr>
        <w:tabs>
          <w:tab w:val="num" w:pos="360"/>
        </w:tabs>
        <w:ind w:left="360" w:hanging="360"/>
      </w:pPr>
      <w:rPr>
        <w:rFonts w:ascii="Symbol" w:hAnsi="Symbol" w:cs="Symbol" w:hint="default"/>
      </w:rPr>
    </w:lvl>
    <w:lvl w:ilvl="1" w:tplc="82B4A73A">
      <w:start w:val="3"/>
      <w:numFmt w:val="decimal"/>
      <w:lvlText w:val="%2."/>
      <w:lvlJc w:val="left"/>
      <w:pPr>
        <w:tabs>
          <w:tab w:val="num" w:pos="432"/>
        </w:tabs>
        <w:ind w:left="432" w:hanging="432"/>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04D2987"/>
    <w:multiLevelType w:val="hybridMultilevel"/>
    <w:tmpl w:val="C114CF2A"/>
    <w:lvl w:ilvl="0" w:tplc="C406AE2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A5C1BA8"/>
    <w:multiLevelType w:val="hybridMultilevel"/>
    <w:tmpl w:val="3BDCCD5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324"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B156493"/>
    <w:multiLevelType w:val="hybridMultilevel"/>
    <w:tmpl w:val="4718E312"/>
    <w:lvl w:ilvl="0" w:tplc="C406AE2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E4114ED"/>
    <w:multiLevelType w:val="hybridMultilevel"/>
    <w:tmpl w:val="31BAF33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70DB61B3"/>
    <w:multiLevelType w:val="hybridMultilevel"/>
    <w:tmpl w:val="7EFCF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1395E44"/>
    <w:multiLevelType w:val="hybridMultilevel"/>
    <w:tmpl w:val="5DA4FAA2"/>
    <w:lvl w:ilvl="0" w:tplc="4C8E4B6A">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2">
    <w:nsid w:val="714C3D1C"/>
    <w:multiLevelType w:val="hybridMultilevel"/>
    <w:tmpl w:val="243213C6"/>
    <w:lvl w:ilvl="0" w:tplc="E7F8B79C">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3">
    <w:nsid w:val="716F0C85"/>
    <w:multiLevelType w:val="hybridMultilevel"/>
    <w:tmpl w:val="EB3284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3DC1B8C"/>
    <w:multiLevelType w:val="hybridMultilevel"/>
    <w:tmpl w:val="340C27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48F5D76"/>
    <w:multiLevelType w:val="hybridMultilevel"/>
    <w:tmpl w:val="DDC8BBBC"/>
    <w:lvl w:ilvl="0" w:tplc="0EFC5054">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5A46FF6"/>
    <w:multiLevelType w:val="hybridMultilevel"/>
    <w:tmpl w:val="1B062C5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5F62B27"/>
    <w:multiLevelType w:val="hybridMultilevel"/>
    <w:tmpl w:val="FAB0D81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78CD15DF"/>
    <w:multiLevelType w:val="hybridMultilevel"/>
    <w:tmpl w:val="8BD61078"/>
    <w:lvl w:ilvl="0" w:tplc="E7F8B79C">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9">
    <w:nsid w:val="7CD424DA"/>
    <w:multiLevelType w:val="hybridMultilevel"/>
    <w:tmpl w:val="5D944C02"/>
    <w:lvl w:ilvl="0" w:tplc="E7F8B79C">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40">
    <w:nsid w:val="7E9310B3"/>
    <w:multiLevelType w:val="hybridMultilevel"/>
    <w:tmpl w:val="92A8BDD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7F024944"/>
    <w:multiLevelType w:val="hybridMultilevel"/>
    <w:tmpl w:val="17846946"/>
    <w:lvl w:ilvl="0" w:tplc="8A8A4798">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19"/>
  </w:num>
  <w:num w:numId="3">
    <w:abstractNumId w:val="9"/>
  </w:num>
  <w:num w:numId="4">
    <w:abstractNumId w:val="25"/>
  </w:num>
  <w:num w:numId="5">
    <w:abstractNumId w:val="1"/>
  </w:num>
  <w:num w:numId="6">
    <w:abstractNumId w:val="24"/>
  </w:num>
  <w:num w:numId="7">
    <w:abstractNumId w:val="36"/>
  </w:num>
  <w:num w:numId="8">
    <w:abstractNumId w:val="27"/>
  </w:num>
  <w:num w:numId="9">
    <w:abstractNumId w:val="13"/>
  </w:num>
  <w:num w:numId="10">
    <w:abstractNumId w:val="10"/>
  </w:num>
  <w:num w:numId="11">
    <w:abstractNumId w:val="5"/>
  </w:num>
  <w:num w:numId="12">
    <w:abstractNumId w:val="20"/>
  </w:num>
  <w:num w:numId="13">
    <w:abstractNumId w:val="35"/>
  </w:num>
  <w:num w:numId="14">
    <w:abstractNumId w:val="41"/>
  </w:num>
  <w:num w:numId="15">
    <w:abstractNumId w:val="28"/>
  </w:num>
  <w:num w:numId="16">
    <w:abstractNumId w:val="31"/>
  </w:num>
  <w:num w:numId="17">
    <w:abstractNumId w:val="26"/>
  </w:num>
  <w:num w:numId="18">
    <w:abstractNumId w:val="18"/>
  </w:num>
  <w:num w:numId="19">
    <w:abstractNumId w:val="7"/>
  </w:num>
  <w:num w:numId="20">
    <w:abstractNumId w:val="14"/>
  </w:num>
  <w:num w:numId="21">
    <w:abstractNumId w:val="8"/>
  </w:num>
  <w:num w:numId="22">
    <w:abstractNumId w:val="3"/>
  </w:num>
  <w:num w:numId="23">
    <w:abstractNumId w:val="23"/>
  </w:num>
  <w:num w:numId="24">
    <w:abstractNumId w:val="12"/>
  </w:num>
  <w:num w:numId="25">
    <w:abstractNumId w:val="38"/>
  </w:num>
  <w:num w:numId="26">
    <w:abstractNumId w:val="6"/>
  </w:num>
  <w:num w:numId="27">
    <w:abstractNumId w:val="39"/>
  </w:num>
  <w:num w:numId="28">
    <w:abstractNumId w:val="22"/>
  </w:num>
  <w:num w:numId="29">
    <w:abstractNumId w:val="32"/>
  </w:num>
  <w:num w:numId="30">
    <w:abstractNumId w:val="16"/>
  </w:num>
  <w:num w:numId="31">
    <w:abstractNumId w:val="11"/>
  </w:num>
  <w:num w:numId="32">
    <w:abstractNumId w:val="30"/>
  </w:num>
  <w:num w:numId="33">
    <w:abstractNumId w:val="34"/>
  </w:num>
  <w:num w:numId="34">
    <w:abstractNumId w:val="0"/>
  </w:num>
  <w:num w:numId="35">
    <w:abstractNumId w:val="40"/>
  </w:num>
  <w:num w:numId="36">
    <w:abstractNumId w:val="2"/>
  </w:num>
  <w:num w:numId="37">
    <w:abstractNumId w:val="4"/>
  </w:num>
  <w:num w:numId="38">
    <w:abstractNumId w:val="37"/>
  </w:num>
  <w:num w:numId="39">
    <w:abstractNumId w:val="15"/>
  </w:num>
  <w:num w:numId="40">
    <w:abstractNumId w:val="33"/>
  </w:num>
  <w:num w:numId="41">
    <w:abstractNumId w:val="2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64"/>
    <w:rsid w:val="000002D8"/>
    <w:rsid w:val="000005C8"/>
    <w:rsid w:val="00000A51"/>
    <w:rsid w:val="00001AFF"/>
    <w:rsid w:val="00002B46"/>
    <w:rsid w:val="0000322F"/>
    <w:rsid w:val="000037F3"/>
    <w:rsid w:val="0000387B"/>
    <w:rsid w:val="000056E2"/>
    <w:rsid w:val="00005BCF"/>
    <w:rsid w:val="000062B7"/>
    <w:rsid w:val="000064B5"/>
    <w:rsid w:val="00006BCD"/>
    <w:rsid w:val="000071D9"/>
    <w:rsid w:val="00007776"/>
    <w:rsid w:val="00007B03"/>
    <w:rsid w:val="000107F7"/>
    <w:rsid w:val="0001206A"/>
    <w:rsid w:val="00012FCE"/>
    <w:rsid w:val="000130E8"/>
    <w:rsid w:val="0001395E"/>
    <w:rsid w:val="00013E64"/>
    <w:rsid w:val="000143F8"/>
    <w:rsid w:val="00015215"/>
    <w:rsid w:val="000153DC"/>
    <w:rsid w:val="00015698"/>
    <w:rsid w:val="0001621A"/>
    <w:rsid w:val="000164C0"/>
    <w:rsid w:val="000168FD"/>
    <w:rsid w:val="000173AE"/>
    <w:rsid w:val="0001751A"/>
    <w:rsid w:val="00020227"/>
    <w:rsid w:val="000203D1"/>
    <w:rsid w:val="00020505"/>
    <w:rsid w:val="000205AE"/>
    <w:rsid w:val="000218C2"/>
    <w:rsid w:val="00021C0C"/>
    <w:rsid w:val="00022911"/>
    <w:rsid w:val="000238A7"/>
    <w:rsid w:val="00023A58"/>
    <w:rsid w:val="00024297"/>
    <w:rsid w:val="00024BEE"/>
    <w:rsid w:val="00024FDB"/>
    <w:rsid w:val="00025C09"/>
    <w:rsid w:val="00025C9F"/>
    <w:rsid w:val="00026774"/>
    <w:rsid w:val="00027651"/>
    <w:rsid w:val="00030A73"/>
    <w:rsid w:val="00030C63"/>
    <w:rsid w:val="00030F6E"/>
    <w:rsid w:val="00031613"/>
    <w:rsid w:val="00031900"/>
    <w:rsid w:val="00033271"/>
    <w:rsid w:val="00033B05"/>
    <w:rsid w:val="0003432D"/>
    <w:rsid w:val="00034711"/>
    <w:rsid w:val="00034826"/>
    <w:rsid w:val="00034C70"/>
    <w:rsid w:val="00035661"/>
    <w:rsid w:val="00036659"/>
    <w:rsid w:val="000366F0"/>
    <w:rsid w:val="00037076"/>
    <w:rsid w:val="00037AFD"/>
    <w:rsid w:val="00037B02"/>
    <w:rsid w:val="00037B69"/>
    <w:rsid w:val="00040382"/>
    <w:rsid w:val="00040819"/>
    <w:rsid w:val="00040C24"/>
    <w:rsid w:val="00042624"/>
    <w:rsid w:val="00042734"/>
    <w:rsid w:val="000428F4"/>
    <w:rsid w:val="00043BC2"/>
    <w:rsid w:val="00043E74"/>
    <w:rsid w:val="00045B48"/>
    <w:rsid w:val="000461FC"/>
    <w:rsid w:val="000465C0"/>
    <w:rsid w:val="000467D9"/>
    <w:rsid w:val="00046B33"/>
    <w:rsid w:val="00047258"/>
    <w:rsid w:val="000476AA"/>
    <w:rsid w:val="000477A2"/>
    <w:rsid w:val="00050179"/>
    <w:rsid w:val="00050785"/>
    <w:rsid w:val="00051E9D"/>
    <w:rsid w:val="00054252"/>
    <w:rsid w:val="0005513D"/>
    <w:rsid w:val="0005582E"/>
    <w:rsid w:val="00055BB7"/>
    <w:rsid w:val="0005612F"/>
    <w:rsid w:val="000574CE"/>
    <w:rsid w:val="000578CE"/>
    <w:rsid w:val="000603FD"/>
    <w:rsid w:val="00061E5D"/>
    <w:rsid w:val="000629AF"/>
    <w:rsid w:val="00062D35"/>
    <w:rsid w:val="00062DAE"/>
    <w:rsid w:val="0006392C"/>
    <w:rsid w:val="00063AA3"/>
    <w:rsid w:val="00063E7E"/>
    <w:rsid w:val="000651A0"/>
    <w:rsid w:val="00065A8D"/>
    <w:rsid w:val="00065D44"/>
    <w:rsid w:val="00065D81"/>
    <w:rsid w:val="000666EB"/>
    <w:rsid w:val="00066E25"/>
    <w:rsid w:val="000679E4"/>
    <w:rsid w:val="00067B12"/>
    <w:rsid w:val="00070D1F"/>
    <w:rsid w:val="000719C5"/>
    <w:rsid w:val="00071D2E"/>
    <w:rsid w:val="00072614"/>
    <w:rsid w:val="00072638"/>
    <w:rsid w:val="00073D32"/>
    <w:rsid w:val="000745AB"/>
    <w:rsid w:val="00074D17"/>
    <w:rsid w:val="000774CB"/>
    <w:rsid w:val="0007755D"/>
    <w:rsid w:val="000777D8"/>
    <w:rsid w:val="00077A8E"/>
    <w:rsid w:val="00080002"/>
    <w:rsid w:val="000808B4"/>
    <w:rsid w:val="00080AEF"/>
    <w:rsid w:val="0008120B"/>
    <w:rsid w:val="0008153D"/>
    <w:rsid w:val="000826BC"/>
    <w:rsid w:val="0008290B"/>
    <w:rsid w:val="00082AF4"/>
    <w:rsid w:val="00082EEA"/>
    <w:rsid w:val="00083079"/>
    <w:rsid w:val="00083252"/>
    <w:rsid w:val="00084745"/>
    <w:rsid w:val="00084790"/>
    <w:rsid w:val="0008485C"/>
    <w:rsid w:val="00084F89"/>
    <w:rsid w:val="00085DAD"/>
    <w:rsid w:val="00087DA7"/>
    <w:rsid w:val="0009228E"/>
    <w:rsid w:val="000923B3"/>
    <w:rsid w:val="00092F6F"/>
    <w:rsid w:val="000938CC"/>
    <w:rsid w:val="00093C1F"/>
    <w:rsid w:val="00094D1E"/>
    <w:rsid w:val="000953A7"/>
    <w:rsid w:val="00096423"/>
    <w:rsid w:val="000966C8"/>
    <w:rsid w:val="00096956"/>
    <w:rsid w:val="0009736B"/>
    <w:rsid w:val="00097859"/>
    <w:rsid w:val="000A05B4"/>
    <w:rsid w:val="000A0781"/>
    <w:rsid w:val="000A14AF"/>
    <w:rsid w:val="000A1651"/>
    <w:rsid w:val="000A2094"/>
    <w:rsid w:val="000A291E"/>
    <w:rsid w:val="000A2D09"/>
    <w:rsid w:val="000A2E8B"/>
    <w:rsid w:val="000A4931"/>
    <w:rsid w:val="000A4D04"/>
    <w:rsid w:val="000A5A65"/>
    <w:rsid w:val="000A6573"/>
    <w:rsid w:val="000A7B48"/>
    <w:rsid w:val="000A7C4C"/>
    <w:rsid w:val="000B0889"/>
    <w:rsid w:val="000B0E61"/>
    <w:rsid w:val="000B0E81"/>
    <w:rsid w:val="000B139B"/>
    <w:rsid w:val="000B1863"/>
    <w:rsid w:val="000B1FDB"/>
    <w:rsid w:val="000B2086"/>
    <w:rsid w:val="000B20E8"/>
    <w:rsid w:val="000B2917"/>
    <w:rsid w:val="000B2FB5"/>
    <w:rsid w:val="000B37C1"/>
    <w:rsid w:val="000B404F"/>
    <w:rsid w:val="000B4BAA"/>
    <w:rsid w:val="000B5586"/>
    <w:rsid w:val="000B668A"/>
    <w:rsid w:val="000C043C"/>
    <w:rsid w:val="000C0F49"/>
    <w:rsid w:val="000C10C1"/>
    <w:rsid w:val="000C2122"/>
    <w:rsid w:val="000C2635"/>
    <w:rsid w:val="000C2825"/>
    <w:rsid w:val="000C2A94"/>
    <w:rsid w:val="000C33B6"/>
    <w:rsid w:val="000C3535"/>
    <w:rsid w:val="000C45DC"/>
    <w:rsid w:val="000C5052"/>
    <w:rsid w:val="000C5910"/>
    <w:rsid w:val="000C5AAD"/>
    <w:rsid w:val="000C6B72"/>
    <w:rsid w:val="000C6D84"/>
    <w:rsid w:val="000C7289"/>
    <w:rsid w:val="000D0688"/>
    <w:rsid w:val="000D06F8"/>
    <w:rsid w:val="000D0967"/>
    <w:rsid w:val="000D0F80"/>
    <w:rsid w:val="000D1208"/>
    <w:rsid w:val="000D1A20"/>
    <w:rsid w:val="000D20A5"/>
    <w:rsid w:val="000D2B22"/>
    <w:rsid w:val="000D3183"/>
    <w:rsid w:val="000D3C86"/>
    <w:rsid w:val="000D3D6E"/>
    <w:rsid w:val="000D4B00"/>
    <w:rsid w:val="000D52F4"/>
    <w:rsid w:val="000D5305"/>
    <w:rsid w:val="000D583B"/>
    <w:rsid w:val="000D5D3C"/>
    <w:rsid w:val="000D5D46"/>
    <w:rsid w:val="000D633B"/>
    <w:rsid w:val="000D673E"/>
    <w:rsid w:val="000D7644"/>
    <w:rsid w:val="000E2651"/>
    <w:rsid w:val="000E2916"/>
    <w:rsid w:val="000E33AA"/>
    <w:rsid w:val="000E412C"/>
    <w:rsid w:val="000E512C"/>
    <w:rsid w:val="000E5550"/>
    <w:rsid w:val="000E57D4"/>
    <w:rsid w:val="000E6008"/>
    <w:rsid w:val="000E7DAE"/>
    <w:rsid w:val="000E7E00"/>
    <w:rsid w:val="000F045F"/>
    <w:rsid w:val="000F0659"/>
    <w:rsid w:val="000F0BD3"/>
    <w:rsid w:val="000F0DD9"/>
    <w:rsid w:val="000F1077"/>
    <w:rsid w:val="000F14A3"/>
    <w:rsid w:val="000F2A71"/>
    <w:rsid w:val="000F3F9F"/>
    <w:rsid w:val="000F44AC"/>
    <w:rsid w:val="000F5AE3"/>
    <w:rsid w:val="000F6B14"/>
    <w:rsid w:val="000F7B9D"/>
    <w:rsid w:val="00100222"/>
    <w:rsid w:val="0010068F"/>
    <w:rsid w:val="00100909"/>
    <w:rsid w:val="001028E8"/>
    <w:rsid w:val="00103665"/>
    <w:rsid w:val="00103986"/>
    <w:rsid w:val="00103EFA"/>
    <w:rsid w:val="00104899"/>
    <w:rsid w:val="00104B4D"/>
    <w:rsid w:val="00104D27"/>
    <w:rsid w:val="00104D5D"/>
    <w:rsid w:val="00106B14"/>
    <w:rsid w:val="00107135"/>
    <w:rsid w:val="001075D1"/>
    <w:rsid w:val="001077B2"/>
    <w:rsid w:val="00107952"/>
    <w:rsid w:val="001105BB"/>
    <w:rsid w:val="00110CFB"/>
    <w:rsid w:val="00111756"/>
    <w:rsid w:val="00111830"/>
    <w:rsid w:val="00112178"/>
    <w:rsid w:val="001122EF"/>
    <w:rsid w:val="00112E13"/>
    <w:rsid w:val="0011358E"/>
    <w:rsid w:val="0011375F"/>
    <w:rsid w:val="00113F6D"/>
    <w:rsid w:val="001145BB"/>
    <w:rsid w:val="00115816"/>
    <w:rsid w:val="00116371"/>
    <w:rsid w:val="00116DF4"/>
    <w:rsid w:val="001172B1"/>
    <w:rsid w:val="001178CE"/>
    <w:rsid w:val="00117B77"/>
    <w:rsid w:val="00120478"/>
    <w:rsid w:val="001204E7"/>
    <w:rsid w:val="0012094F"/>
    <w:rsid w:val="00120F8A"/>
    <w:rsid w:val="0012171C"/>
    <w:rsid w:val="00121C5D"/>
    <w:rsid w:val="00121D98"/>
    <w:rsid w:val="00121EB2"/>
    <w:rsid w:val="0012459E"/>
    <w:rsid w:val="0012487B"/>
    <w:rsid w:val="0012495A"/>
    <w:rsid w:val="00124A37"/>
    <w:rsid w:val="00124D41"/>
    <w:rsid w:val="0012633F"/>
    <w:rsid w:val="00127526"/>
    <w:rsid w:val="00127D29"/>
    <w:rsid w:val="00127E2F"/>
    <w:rsid w:val="00130AB3"/>
    <w:rsid w:val="00130F90"/>
    <w:rsid w:val="001312B7"/>
    <w:rsid w:val="00131EB1"/>
    <w:rsid w:val="0013314C"/>
    <w:rsid w:val="00133FC8"/>
    <w:rsid w:val="00134539"/>
    <w:rsid w:val="00134EFA"/>
    <w:rsid w:val="00136321"/>
    <w:rsid w:val="001367F0"/>
    <w:rsid w:val="0013688B"/>
    <w:rsid w:val="001373E7"/>
    <w:rsid w:val="0014034F"/>
    <w:rsid w:val="0014059F"/>
    <w:rsid w:val="00140AE1"/>
    <w:rsid w:val="00140D33"/>
    <w:rsid w:val="00140EAA"/>
    <w:rsid w:val="00141BCD"/>
    <w:rsid w:val="00142377"/>
    <w:rsid w:val="00142DD8"/>
    <w:rsid w:val="00143530"/>
    <w:rsid w:val="00144307"/>
    <w:rsid w:val="00144390"/>
    <w:rsid w:val="00144661"/>
    <w:rsid w:val="0014593C"/>
    <w:rsid w:val="001464FA"/>
    <w:rsid w:val="00146B9F"/>
    <w:rsid w:val="00146F69"/>
    <w:rsid w:val="00147993"/>
    <w:rsid w:val="001479FA"/>
    <w:rsid w:val="00150015"/>
    <w:rsid w:val="001505B0"/>
    <w:rsid w:val="00150777"/>
    <w:rsid w:val="00150830"/>
    <w:rsid w:val="00150847"/>
    <w:rsid w:val="001512BD"/>
    <w:rsid w:val="00151452"/>
    <w:rsid w:val="00151D54"/>
    <w:rsid w:val="00151FBA"/>
    <w:rsid w:val="00152DC3"/>
    <w:rsid w:val="00153082"/>
    <w:rsid w:val="0015328D"/>
    <w:rsid w:val="001535F3"/>
    <w:rsid w:val="00153747"/>
    <w:rsid w:val="00153785"/>
    <w:rsid w:val="001552BA"/>
    <w:rsid w:val="00155C1D"/>
    <w:rsid w:val="00156447"/>
    <w:rsid w:val="001565D8"/>
    <w:rsid w:val="00157A11"/>
    <w:rsid w:val="001617B4"/>
    <w:rsid w:val="001618EF"/>
    <w:rsid w:val="0016230C"/>
    <w:rsid w:val="001625FD"/>
    <w:rsid w:val="001627CC"/>
    <w:rsid w:val="00162E96"/>
    <w:rsid w:val="00162F92"/>
    <w:rsid w:val="00163063"/>
    <w:rsid w:val="00165114"/>
    <w:rsid w:val="001654A6"/>
    <w:rsid w:val="00165A47"/>
    <w:rsid w:val="00165C66"/>
    <w:rsid w:val="00165C76"/>
    <w:rsid w:val="00165CCD"/>
    <w:rsid w:val="0016706E"/>
    <w:rsid w:val="00167973"/>
    <w:rsid w:val="00170496"/>
    <w:rsid w:val="00170E92"/>
    <w:rsid w:val="00172613"/>
    <w:rsid w:val="001726D7"/>
    <w:rsid w:val="00172AAD"/>
    <w:rsid w:val="00172AD9"/>
    <w:rsid w:val="00173AA8"/>
    <w:rsid w:val="00173E45"/>
    <w:rsid w:val="00174017"/>
    <w:rsid w:val="00174269"/>
    <w:rsid w:val="00174487"/>
    <w:rsid w:val="00174E01"/>
    <w:rsid w:val="001756BB"/>
    <w:rsid w:val="001763F9"/>
    <w:rsid w:val="00176C5F"/>
    <w:rsid w:val="00176F94"/>
    <w:rsid w:val="001801BF"/>
    <w:rsid w:val="00180A13"/>
    <w:rsid w:val="00181037"/>
    <w:rsid w:val="00182605"/>
    <w:rsid w:val="001832C2"/>
    <w:rsid w:val="001835CC"/>
    <w:rsid w:val="00183611"/>
    <w:rsid w:val="00183FCA"/>
    <w:rsid w:val="0018445A"/>
    <w:rsid w:val="00184589"/>
    <w:rsid w:val="00184A64"/>
    <w:rsid w:val="00184B3F"/>
    <w:rsid w:val="001863C5"/>
    <w:rsid w:val="0018767C"/>
    <w:rsid w:val="00187C8D"/>
    <w:rsid w:val="00190338"/>
    <w:rsid w:val="001905AF"/>
    <w:rsid w:val="00192058"/>
    <w:rsid w:val="0019214B"/>
    <w:rsid w:val="0019270B"/>
    <w:rsid w:val="00192EBF"/>
    <w:rsid w:val="0019316C"/>
    <w:rsid w:val="001939C3"/>
    <w:rsid w:val="00193BD5"/>
    <w:rsid w:val="00194CC9"/>
    <w:rsid w:val="00194E15"/>
    <w:rsid w:val="00194F2D"/>
    <w:rsid w:val="001957CD"/>
    <w:rsid w:val="00195B3C"/>
    <w:rsid w:val="00195F51"/>
    <w:rsid w:val="00196E1B"/>
    <w:rsid w:val="0019710C"/>
    <w:rsid w:val="00197755"/>
    <w:rsid w:val="00197A9B"/>
    <w:rsid w:val="00197A9D"/>
    <w:rsid w:val="001A021A"/>
    <w:rsid w:val="001A111F"/>
    <w:rsid w:val="001A280A"/>
    <w:rsid w:val="001A2B36"/>
    <w:rsid w:val="001A306D"/>
    <w:rsid w:val="001A3128"/>
    <w:rsid w:val="001A3611"/>
    <w:rsid w:val="001A4502"/>
    <w:rsid w:val="001A4F46"/>
    <w:rsid w:val="001A5B15"/>
    <w:rsid w:val="001A5CCF"/>
    <w:rsid w:val="001A5ECC"/>
    <w:rsid w:val="001A6B9C"/>
    <w:rsid w:val="001A76BF"/>
    <w:rsid w:val="001B0834"/>
    <w:rsid w:val="001B0E0F"/>
    <w:rsid w:val="001B1064"/>
    <w:rsid w:val="001B1468"/>
    <w:rsid w:val="001B2E87"/>
    <w:rsid w:val="001B30C2"/>
    <w:rsid w:val="001B3FB6"/>
    <w:rsid w:val="001B4D04"/>
    <w:rsid w:val="001B4FB7"/>
    <w:rsid w:val="001B566C"/>
    <w:rsid w:val="001B5B34"/>
    <w:rsid w:val="001B6F3B"/>
    <w:rsid w:val="001B7B3B"/>
    <w:rsid w:val="001C04EF"/>
    <w:rsid w:val="001C0746"/>
    <w:rsid w:val="001C091D"/>
    <w:rsid w:val="001C0B2F"/>
    <w:rsid w:val="001C10E8"/>
    <w:rsid w:val="001C1ACF"/>
    <w:rsid w:val="001C1CD2"/>
    <w:rsid w:val="001C1F60"/>
    <w:rsid w:val="001C2616"/>
    <w:rsid w:val="001C37BC"/>
    <w:rsid w:val="001C41EE"/>
    <w:rsid w:val="001C47D7"/>
    <w:rsid w:val="001C4DE2"/>
    <w:rsid w:val="001C64A9"/>
    <w:rsid w:val="001C6554"/>
    <w:rsid w:val="001C66D0"/>
    <w:rsid w:val="001C6BBE"/>
    <w:rsid w:val="001C748E"/>
    <w:rsid w:val="001C7C24"/>
    <w:rsid w:val="001C7EF2"/>
    <w:rsid w:val="001D0600"/>
    <w:rsid w:val="001D1E49"/>
    <w:rsid w:val="001D1E8D"/>
    <w:rsid w:val="001D1FBB"/>
    <w:rsid w:val="001D29E2"/>
    <w:rsid w:val="001D3B11"/>
    <w:rsid w:val="001D41F2"/>
    <w:rsid w:val="001D4D6E"/>
    <w:rsid w:val="001D6612"/>
    <w:rsid w:val="001D73FC"/>
    <w:rsid w:val="001D7999"/>
    <w:rsid w:val="001E070F"/>
    <w:rsid w:val="001E0D33"/>
    <w:rsid w:val="001E1D6D"/>
    <w:rsid w:val="001E1DEF"/>
    <w:rsid w:val="001E27A3"/>
    <w:rsid w:val="001E2D4D"/>
    <w:rsid w:val="001E31F6"/>
    <w:rsid w:val="001E39F7"/>
    <w:rsid w:val="001E409D"/>
    <w:rsid w:val="001E4114"/>
    <w:rsid w:val="001E487A"/>
    <w:rsid w:val="001E4BF2"/>
    <w:rsid w:val="001E4C34"/>
    <w:rsid w:val="001E58AF"/>
    <w:rsid w:val="001E5924"/>
    <w:rsid w:val="001E6297"/>
    <w:rsid w:val="001E6A78"/>
    <w:rsid w:val="001E7855"/>
    <w:rsid w:val="001F0435"/>
    <w:rsid w:val="001F0DCB"/>
    <w:rsid w:val="001F2EE6"/>
    <w:rsid w:val="001F2F12"/>
    <w:rsid w:val="001F38C3"/>
    <w:rsid w:val="001F397D"/>
    <w:rsid w:val="001F46FB"/>
    <w:rsid w:val="001F487F"/>
    <w:rsid w:val="001F4E3F"/>
    <w:rsid w:val="001F52BB"/>
    <w:rsid w:val="001F53A5"/>
    <w:rsid w:val="001F5CA1"/>
    <w:rsid w:val="001F63F1"/>
    <w:rsid w:val="001F6795"/>
    <w:rsid w:val="001F6957"/>
    <w:rsid w:val="001F72E9"/>
    <w:rsid w:val="001F7FBF"/>
    <w:rsid w:val="00200084"/>
    <w:rsid w:val="00200B06"/>
    <w:rsid w:val="0020281C"/>
    <w:rsid w:val="00202EE4"/>
    <w:rsid w:val="00202F8F"/>
    <w:rsid w:val="002038B7"/>
    <w:rsid w:val="002039A1"/>
    <w:rsid w:val="0020430D"/>
    <w:rsid w:val="002047D4"/>
    <w:rsid w:val="00206118"/>
    <w:rsid w:val="0020616D"/>
    <w:rsid w:val="002066CD"/>
    <w:rsid w:val="00206D0A"/>
    <w:rsid w:val="0020740B"/>
    <w:rsid w:val="00207B03"/>
    <w:rsid w:val="00210555"/>
    <w:rsid w:val="002107F6"/>
    <w:rsid w:val="002110C0"/>
    <w:rsid w:val="0021115E"/>
    <w:rsid w:val="002136D6"/>
    <w:rsid w:val="00213E4B"/>
    <w:rsid w:val="00213EF1"/>
    <w:rsid w:val="00214027"/>
    <w:rsid w:val="0021413A"/>
    <w:rsid w:val="00214497"/>
    <w:rsid w:val="00214B1B"/>
    <w:rsid w:val="0021500D"/>
    <w:rsid w:val="0021592C"/>
    <w:rsid w:val="00215AFE"/>
    <w:rsid w:val="00215DCD"/>
    <w:rsid w:val="00216066"/>
    <w:rsid w:val="00216549"/>
    <w:rsid w:val="00216B6E"/>
    <w:rsid w:val="00216DD1"/>
    <w:rsid w:val="002170C8"/>
    <w:rsid w:val="002177E3"/>
    <w:rsid w:val="002178B9"/>
    <w:rsid w:val="00217DA4"/>
    <w:rsid w:val="00220813"/>
    <w:rsid w:val="00221312"/>
    <w:rsid w:val="0022145A"/>
    <w:rsid w:val="00221A16"/>
    <w:rsid w:val="00222038"/>
    <w:rsid w:val="002232F7"/>
    <w:rsid w:val="0022346C"/>
    <w:rsid w:val="00223AC1"/>
    <w:rsid w:val="00223B8F"/>
    <w:rsid w:val="00223D74"/>
    <w:rsid w:val="00224394"/>
    <w:rsid w:val="00224D8A"/>
    <w:rsid w:val="00224F33"/>
    <w:rsid w:val="00230527"/>
    <w:rsid w:val="002306C3"/>
    <w:rsid w:val="00231865"/>
    <w:rsid w:val="00231D14"/>
    <w:rsid w:val="00231E5B"/>
    <w:rsid w:val="00231EF2"/>
    <w:rsid w:val="002320CD"/>
    <w:rsid w:val="002324EE"/>
    <w:rsid w:val="00233EA1"/>
    <w:rsid w:val="00234238"/>
    <w:rsid w:val="00235C0C"/>
    <w:rsid w:val="00236531"/>
    <w:rsid w:val="002370F4"/>
    <w:rsid w:val="0023715C"/>
    <w:rsid w:val="00237C8B"/>
    <w:rsid w:val="0024009D"/>
    <w:rsid w:val="00241109"/>
    <w:rsid w:val="00243B56"/>
    <w:rsid w:val="0024478E"/>
    <w:rsid w:val="00244EE9"/>
    <w:rsid w:val="00245063"/>
    <w:rsid w:val="0024507F"/>
    <w:rsid w:val="00245A6B"/>
    <w:rsid w:val="00245BCA"/>
    <w:rsid w:val="00245CD5"/>
    <w:rsid w:val="00246135"/>
    <w:rsid w:val="00246858"/>
    <w:rsid w:val="00247057"/>
    <w:rsid w:val="00247570"/>
    <w:rsid w:val="002478A0"/>
    <w:rsid w:val="00247D94"/>
    <w:rsid w:val="00247FD6"/>
    <w:rsid w:val="002503BC"/>
    <w:rsid w:val="00250AFD"/>
    <w:rsid w:val="00250C7F"/>
    <w:rsid w:val="00251528"/>
    <w:rsid w:val="002515A9"/>
    <w:rsid w:val="00251B7B"/>
    <w:rsid w:val="00251F45"/>
    <w:rsid w:val="002523F4"/>
    <w:rsid w:val="00253E60"/>
    <w:rsid w:val="0025400E"/>
    <w:rsid w:val="0025408C"/>
    <w:rsid w:val="00254A94"/>
    <w:rsid w:val="00254B18"/>
    <w:rsid w:val="00256474"/>
    <w:rsid w:val="002572BC"/>
    <w:rsid w:val="00257D17"/>
    <w:rsid w:val="00260D73"/>
    <w:rsid w:val="0026164C"/>
    <w:rsid w:val="00261A0A"/>
    <w:rsid w:val="00262438"/>
    <w:rsid w:val="0026340A"/>
    <w:rsid w:val="00263593"/>
    <w:rsid w:val="00265C57"/>
    <w:rsid w:val="002664CC"/>
    <w:rsid w:val="00266527"/>
    <w:rsid w:val="00266574"/>
    <w:rsid w:val="00266624"/>
    <w:rsid w:val="00266779"/>
    <w:rsid w:val="00266859"/>
    <w:rsid w:val="00267801"/>
    <w:rsid w:val="002678EA"/>
    <w:rsid w:val="00267B2C"/>
    <w:rsid w:val="002701CC"/>
    <w:rsid w:val="002703D3"/>
    <w:rsid w:val="002716D6"/>
    <w:rsid w:val="00271712"/>
    <w:rsid w:val="00271A21"/>
    <w:rsid w:val="00272092"/>
    <w:rsid w:val="002726D1"/>
    <w:rsid w:val="002729D6"/>
    <w:rsid w:val="00272D90"/>
    <w:rsid w:val="002745CC"/>
    <w:rsid w:val="00274BE4"/>
    <w:rsid w:val="00274CB8"/>
    <w:rsid w:val="00274D2F"/>
    <w:rsid w:val="00275730"/>
    <w:rsid w:val="00276064"/>
    <w:rsid w:val="00276660"/>
    <w:rsid w:val="00276DE9"/>
    <w:rsid w:val="00276F7F"/>
    <w:rsid w:val="00277409"/>
    <w:rsid w:val="00277783"/>
    <w:rsid w:val="002805B1"/>
    <w:rsid w:val="002806DD"/>
    <w:rsid w:val="00280A74"/>
    <w:rsid w:val="002811FF"/>
    <w:rsid w:val="00281597"/>
    <w:rsid w:val="00281AF7"/>
    <w:rsid w:val="002822B6"/>
    <w:rsid w:val="002835E9"/>
    <w:rsid w:val="0028481E"/>
    <w:rsid w:val="0028489B"/>
    <w:rsid w:val="002852CD"/>
    <w:rsid w:val="00285FBC"/>
    <w:rsid w:val="00286786"/>
    <w:rsid w:val="00286B90"/>
    <w:rsid w:val="00286FC5"/>
    <w:rsid w:val="00287485"/>
    <w:rsid w:val="00290535"/>
    <w:rsid w:val="002906CC"/>
    <w:rsid w:val="00290D07"/>
    <w:rsid w:val="002913BA"/>
    <w:rsid w:val="002916D8"/>
    <w:rsid w:val="00292471"/>
    <w:rsid w:val="00292BD3"/>
    <w:rsid w:val="00293D63"/>
    <w:rsid w:val="00293EE6"/>
    <w:rsid w:val="00295266"/>
    <w:rsid w:val="002958C7"/>
    <w:rsid w:val="0029662D"/>
    <w:rsid w:val="00296D6E"/>
    <w:rsid w:val="0029713B"/>
    <w:rsid w:val="00297479"/>
    <w:rsid w:val="00297766"/>
    <w:rsid w:val="002979E6"/>
    <w:rsid w:val="002A048E"/>
    <w:rsid w:val="002A066E"/>
    <w:rsid w:val="002A0A2D"/>
    <w:rsid w:val="002A11A7"/>
    <w:rsid w:val="002A1A59"/>
    <w:rsid w:val="002A29D2"/>
    <w:rsid w:val="002A31A6"/>
    <w:rsid w:val="002A36B6"/>
    <w:rsid w:val="002A3905"/>
    <w:rsid w:val="002A40CA"/>
    <w:rsid w:val="002A47A5"/>
    <w:rsid w:val="002A4AFD"/>
    <w:rsid w:val="002A4C0E"/>
    <w:rsid w:val="002A7AC1"/>
    <w:rsid w:val="002B0002"/>
    <w:rsid w:val="002B0137"/>
    <w:rsid w:val="002B0736"/>
    <w:rsid w:val="002B08DA"/>
    <w:rsid w:val="002B131C"/>
    <w:rsid w:val="002B1801"/>
    <w:rsid w:val="002B2F1A"/>
    <w:rsid w:val="002B3260"/>
    <w:rsid w:val="002B443F"/>
    <w:rsid w:val="002B45D5"/>
    <w:rsid w:val="002B4B93"/>
    <w:rsid w:val="002B4C11"/>
    <w:rsid w:val="002B4E37"/>
    <w:rsid w:val="002B58A5"/>
    <w:rsid w:val="002B5F90"/>
    <w:rsid w:val="002B613F"/>
    <w:rsid w:val="002B689D"/>
    <w:rsid w:val="002B7726"/>
    <w:rsid w:val="002B7802"/>
    <w:rsid w:val="002C09F0"/>
    <w:rsid w:val="002C2731"/>
    <w:rsid w:val="002C299C"/>
    <w:rsid w:val="002C2BF7"/>
    <w:rsid w:val="002C3155"/>
    <w:rsid w:val="002C5017"/>
    <w:rsid w:val="002C549F"/>
    <w:rsid w:val="002C5585"/>
    <w:rsid w:val="002C635A"/>
    <w:rsid w:val="002C7220"/>
    <w:rsid w:val="002D13CA"/>
    <w:rsid w:val="002D179C"/>
    <w:rsid w:val="002D1A84"/>
    <w:rsid w:val="002D1D72"/>
    <w:rsid w:val="002D1FCF"/>
    <w:rsid w:val="002D2211"/>
    <w:rsid w:val="002D27FF"/>
    <w:rsid w:val="002D3A4E"/>
    <w:rsid w:val="002D3B8E"/>
    <w:rsid w:val="002D4AED"/>
    <w:rsid w:val="002D4BA6"/>
    <w:rsid w:val="002D4D72"/>
    <w:rsid w:val="002D4F05"/>
    <w:rsid w:val="002D4F88"/>
    <w:rsid w:val="002D5ABF"/>
    <w:rsid w:val="002D6FA9"/>
    <w:rsid w:val="002D7EDC"/>
    <w:rsid w:val="002E08AB"/>
    <w:rsid w:val="002E153B"/>
    <w:rsid w:val="002E16C1"/>
    <w:rsid w:val="002E2550"/>
    <w:rsid w:val="002E4388"/>
    <w:rsid w:val="002E4A74"/>
    <w:rsid w:val="002E58F2"/>
    <w:rsid w:val="002E68EB"/>
    <w:rsid w:val="002E6BEE"/>
    <w:rsid w:val="002E767F"/>
    <w:rsid w:val="002E7A95"/>
    <w:rsid w:val="002F12D1"/>
    <w:rsid w:val="002F17C6"/>
    <w:rsid w:val="002F2286"/>
    <w:rsid w:val="002F2522"/>
    <w:rsid w:val="002F30CE"/>
    <w:rsid w:val="002F34D4"/>
    <w:rsid w:val="002F354F"/>
    <w:rsid w:val="002F369F"/>
    <w:rsid w:val="002F463B"/>
    <w:rsid w:val="002F474A"/>
    <w:rsid w:val="002F6402"/>
    <w:rsid w:val="002F6A17"/>
    <w:rsid w:val="002F6B3D"/>
    <w:rsid w:val="002F75D8"/>
    <w:rsid w:val="002F7F74"/>
    <w:rsid w:val="00300ECF"/>
    <w:rsid w:val="003011F5"/>
    <w:rsid w:val="003016B4"/>
    <w:rsid w:val="00302587"/>
    <w:rsid w:val="00302A6F"/>
    <w:rsid w:val="00303908"/>
    <w:rsid w:val="00303AA3"/>
    <w:rsid w:val="003041E7"/>
    <w:rsid w:val="00304787"/>
    <w:rsid w:val="003048B3"/>
    <w:rsid w:val="00306B3F"/>
    <w:rsid w:val="00307389"/>
    <w:rsid w:val="003076F3"/>
    <w:rsid w:val="00310016"/>
    <w:rsid w:val="003103B2"/>
    <w:rsid w:val="003106D8"/>
    <w:rsid w:val="00311338"/>
    <w:rsid w:val="003126CE"/>
    <w:rsid w:val="00312865"/>
    <w:rsid w:val="003136B5"/>
    <w:rsid w:val="003137DA"/>
    <w:rsid w:val="003138A5"/>
    <w:rsid w:val="00313FA9"/>
    <w:rsid w:val="00315733"/>
    <w:rsid w:val="003158EE"/>
    <w:rsid w:val="00315A66"/>
    <w:rsid w:val="00315A89"/>
    <w:rsid w:val="00316D26"/>
    <w:rsid w:val="003175A2"/>
    <w:rsid w:val="00320296"/>
    <w:rsid w:val="003211A6"/>
    <w:rsid w:val="00321AE9"/>
    <w:rsid w:val="0032226C"/>
    <w:rsid w:val="0032314D"/>
    <w:rsid w:val="003238BA"/>
    <w:rsid w:val="003239A6"/>
    <w:rsid w:val="00323FD6"/>
    <w:rsid w:val="00324185"/>
    <w:rsid w:val="00324C34"/>
    <w:rsid w:val="003250B9"/>
    <w:rsid w:val="00325E8B"/>
    <w:rsid w:val="003266D3"/>
    <w:rsid w:val="0032714D"/>
    <w:rsid w:val="00330247"/>
    <w:rsid w:val="0033070B"/>
    <w:rsid w:val="00331797"/>
    <w:rsid w:val="003321E7"/>
    <w:rsid w:val="003325E3"/>
    <w:rsid w:val="0033289C"/>
    <w:rsid w:val="00332D2F"/>
    <w:rsid w:val="00333231"/>
    <w:rsid w:val="00333347"/>
    <w:rsid w:val="00333596"/>
    <w:rsid w:val="00334171"/>
    <w:rsid w:val="003342A0"/>
    <w:rsid w:val="003345E7"/>
    <w:rsid w:val="00334C6F"/>
    <w:rsid w:val="003350E3"/>
    <w:rsid w:val="00335967"/>
    <w:rsid w:val="00336DAE"/>
    <w:rsid w:val="00336EAD"/>
    <w:rsid w:val="003375AD"/>
    <w:rsid w:val="00337BCD"/>
    <w:rsid w:val="00337C0E"/>
    <w:rsid w:val="00337DED"/>
    <w:rsid w:val="00340889"/>
    <w:rsid w:val="003408C8"/>
    <w:rsid w:val="00341678"/>
    <w:rsid w:val="0034267D"/>
    <w:rsid w:val="00342970"/>
    <w:rsid w:val="00342C3C"/>
    <w:rsid w:val="00342F42"/>
    <w:rsid w:val="00343C5D"/>
    <w:rsid w:val="00343F4A"/>
    <w:rsid w:val="00343FDA"/>
    <w:rsid w:val="0034526A"/>
    <w:rsid w:val="0034592C"/>
    <w:rsid w:val="003465F1"/>
    <w:rsid w:val="0034693B"/>
    <w:rsid w:val="00347181"/>
    <w:rsid w:val="00347CBF"/>
    <w:rsid w:val="00350417"/>
    <w:rsid w:val="00350F8E"/>
    <w:rsid w:val="003514F3"/>
    <w:rsid w:val="0035162B"/>
    <w:rsid w:val="0035194C"/>
    <w:rsid w:val="00351BE1"/>
    <w:rsid w:val="00351D92"/>
    <w:rsid w:val="00352B8C"/>
    <w:rsid w:val="00353661"/>
    <w:rsid w:val="00353B25"/>
    <w:rsid w:val="00355722"/>
    <w:rsid w:val="003557A7"/>
    <w:rsid w:val="00355985"/>
    <w:rsid w:val="00355CC6"/>
    <w:rsid w:val="00356167"/>
    <w:rsid w:val="0035625F"/>
    <w:rsid w:val="0036110B"/>
    <w:rsid w:val="00361173"/>
    <w:rsid w:val="003614CA"/>
    <w:rsid w:val="00361680"/>
    <w:rsid w:val="003621B9"/>
    <w:rsid w:val="00362A0A"/>
    <w:rsid w:val="00362ED1"/>
    <w:rsid w:val="00363235"/>
    <w:rsid w:val="00363356"/>
    <w:rsid w:val="003643B6"/>
    <w:rsid w:val="003644BF"/>
    <w:rsid w:val="00365304"/>
    <w:rsid w:val="00365438"/>
    <w:rsid w:val="00366707"/>
    <w:rsid w:val="00367155"/>
    <w:rsid w:val="00367427"/>
    <w:rsid w:val="00367485"/>
    <w:rsid w:val="00367CDF"/>
    <w:rsid w:val="00370144"/>
    <w:rsid w:val="00370D0E"/>
    <w:rsid w:val="00370E63"/>
    <w:rsid w:val="00371299"/>
    <w:rsid w:val="0037150B"/>
    <w:rsid w:val="00371850"/>
    <w:rsid w:val="00371932"/>
    <w:rsid w:val="00371D13"/>
    <w:rsid w:val="00372147"/>
    <w:rsid w:val="0037333D"/>
    <w:rsid w:val="00374A77"/>
    <w:rsid w:val="00374BAB"/>
    <w:rsid w:val="00376A6C"/>
    <w:rsid w:val="00376DBD"/>
    <w:rsid w:val="0037751F"/>
    <w:rsid w:val="003779F8"/>
    <w:rsid w:val="00377B88"/>
    <w:rsid w:val="00377C6C"/>
    <w:rsid w:val="00377E4C"/>
    <w:rsid w:val="00381E0D"/>
    <w:rsid w:val="00382893"/>
    <w:rsid w:val="00383477"/>
    <w:rsid w:val="0038585D"/>
    <w:rsid w:val="00387C30"/>
    <w:rsid w:val="00387FAC"/>
    <w:rsid w:val="003902CD"/>
    <w:rsid w:val="00390B87"/>
    <w:rsid w:val="00390B8C"/>
    <w:rsid w:val="0039113B"/>
    <w:rsid w:val="0039157E"/>
    <w:rsid w:val="00391692"/>
    <w:rsid w:val="0039256E"/>
    <w:rsid w:val="00392A47"/>
    <w:rsid w:val="00392AB0"/>
    <w:rsid w:val="00392BFB"/>
    <w:rsid w:val="00392D16"/>
    <w:rsid w:val="00393372"/>
    <w:rsid w:val="003946CD"/>
    <w:rsid w:val="0039507E"/>
    <w:rsid w:val="00395624"/>
    <w:rsid w:val="00395FAE"/>
    <w:rsid w:val="00396272"/>
    <w:rsid w:val="00396F6D"/>
    <w:rsid w:val="00397C32"/>
    <w:rsid w:val="003A087E"/>
    <w:rsid w:val="003A1081"/>
    <w:rsid w:val="003A1AA5"/>
    <w:rsid w:val="003A2B7C"/>
    <w:rsid w:val="003A2D95"/>
    <w:rsid w:val="003A3152"/>
    <w:rsid w:val="003A33CD"/>
    <w:rsid w:val="003A3DCA"/>
    <w:rsid w:val="003A4D50"/>
    <w:rsid w:val="003A50C6"/>
    <w:rsid w:val="003A5DFD"/>
    <w:rsid w:val="003A5F3B"/>
    <w:rsid w:val="003A69E2"/>
    <w:rsid w:val="003A6F30"/>
    <w:rsid w:val="003A73E2"/>
    <w:rsid w:val="003B1139"/>
    <w:rsid w:val="003B1936"/>
    <w:rsid w:val="003B1D9B"/>
    <w:rsid w:val="003B249E"/>
    <w:rsid w:val="003B254B"/>
    <w:rsid w:val="003B25D3"/>
    <w:rsid w:val="003B2AB7"/>
    <w:rsid w:val="003B48C8"/>
    <w:rsid w:val="003B4FA0"/>
    <w:rsid w:val="003B521C"/>
    <w:rsid w:val="003B5494"/>
    <w:rsid w:val="003B5707"/>
    <w:rsid w:val="003B5F53"/>
    <w:rsid w:val="003B6443"/>
    <w:rsid w:val="003B69DB"/>
    <w:rsid w:val="003B6C4E"/>
    <w:rsid w:val="003B6D44"/>
    <w:rsid w:val="003B727A"/>
    <w:rsid w:val="003B7318"/>
    <w:rsid w:val="003B7B7C"/>
    <w:rsid w:val="003B7DFC"/>
    <w:rsid w:val="003C1647"/>
    <w:rsid w:val="003C4619"/>
    <w:rsid w:val="003C4A96"/>
    <w:rsid w:val="003C5673"/>
    <w:rsid w:val="003C5973"/>
    <w:rsid w:val="003C5C14"/>
    <w:rsid w:val="003C64C5"/>
    <w:rsid w:val="003C6952"/>
    <w:rsid w:val="003C7139"/>
    <w:rsid w:val="003D0255"/>
    <w:rsid w:val="003D043A"/>
    <w:rsid w:val="003D0499"/>
    <w:rsid w:val="003D504E"/>
    <w:rsid w:val="003D51F2"/>
    <w:rsid w:val="003D5981"/>
    <w:rsid w:val="003D5B14"/>
    <w:rsid w:val="003D6071"/>
    <w:rsid w:val="003D6079"/>
    <w:rsid w:val="003D6D71"/>
    <w:rsid w:val="003D7245"/>
    <w:rsid w:val="003D7C40"/>
    <w:rsid w:val="003E0523"/>
    <w:rsid w:val="003E1008"/>
    <w:rsid w:val="003E1501"/>
    <w:rsid w:val="003E3F49"/>
    <w:rsid w:val="003E4236"/>
    <w:rsid w:val="003E4A86"/>
    <w:rsid w:val="003E4F06"/>
    <w:rsid w:val="003E52F5"/>
    <w:rsid w:val="003E5499"/>
    <w:rsid w:val="003E549E"/>
    <w:rsid w:val="003E59FF"/>
    <w:rsid w:val="003E5B37"/>
    <w:rsid w:val="003E6FE2"/>
    <w:rsid w:val="003E704F"/>
    <w:rsid w:val="003E78F5"/>
    <w:rsid w:val="003E7A6D"/>
    <w:rsid w:val="003E7B5B"/>
    <w:rsid w:val="003F04B0"/>
    <w:rsid w:val="003F0EF7"/>
    <w:rsid w:val="003F1325"/>
    <w:rsid w:val="003F1673"/>
    <w:rsid w:val="003F3263"/>
    <w:rsid w:val="003F5394"/>
    <w:rsid w:val="003F54D6"/>
    <w:rsid w:val="003F5593"/>
    <w:rsid w:val="003F6026"/>
    <w:rsid w:val="003F6AB1"/>
    <w:rsid w:val="003F6BD5"/>
    <w:rsid w:val="003F6D4F"/>
    <w:rsid w:val="003F70E3"/>
    <w:rsid w:val="003F72AD"/>
    <w:rsid w:val="004007B1"/>
    <w:rsid w:val="004008B0"/>
    <w:rsid w:val="00400F61"/>
    <w:rsid w:val="0040112C"/>
    <w:rsid w:val="004012FA"/>
    <w:rsid w:val="00402394"/>
    <w:rsid w:val="004023CF"/>
    <w:rsid w:val="0040385A"/>
    <w:rsid w:val="00404A9F"/>
    <w:rsid w:val="00404C2C"/>
    <w:rsid w:val="0040698F"/>
    <w:rsid w:val="00406F35"/>
    <w:rsid w:val="00407516"/>
    <w:rsid w:val="00407F95"/>
    <w:rsid w:val="00411C08"/>
    <w:rsid w:val="00412839"/>
    <w:rsid w:val="00412D64"/>
    <w:rsid w:val="0041320B"/>
    <w:rsid w:val="004133BA"/>
    <w:rsid w:val="004136DA"/>
    <w:rsid w:val="004137D5"/>
    <w:rsid w:val="00413EB0"/>
    <w:rsid w:val="00413FD4"/>
    <w:rsid w:val="004141D6"/>
    <w:rsid w:val="0041484B"/>
    <w:rsid w:val="00415E28"/>
    <w:rsid w:val="00415EFE"/>
    <w:rsid w:val="00417962"/>
    <w:rsid w:val="00417A07"/>
    <w:rsid w:val="00417A13"/>
    <w:rsid w:val="00420739"/>
    <w:rsid w:val="00420810"/>
    <w:rsid w:val="00420E58"/>
    <w:rsid w:val="00421602"/>
    <w:rsid w:val="00421A11"/>
    <w:rsid w:val="00421E98"/>
    <w:rsid w:val="00423728"/>
    <w:rsid w:val="0042380E"/>
    <w:rsid w:val="00423A73"/>
    <w:rsid w:val="004244D7"/>
    <w:rsid w:val="00424573"/>
    <w:rsid w:val="00424974"/>
    <w:rsid w:val="00426BC8"/>
    <w:rsid w:val="00426BC9"/>
    <w:rsid w:val="00426DC4"/>
    <w:rsid w:val="00426F11"/>
    <w:rsid w:val="00427A12"/>
    <w:rsid w:val="00427B9F"/>
    <w:rsid w:val="00432FAB"/>
    <w:rsid w:val="00433688"/>
    <w:rsid w:val="0043373E"/>
    <w:rsid w:val="00434775"/>
    <w:rsid w:val="00434890"/>
    <w:rsid w:val="00434B3F"/>
    <w:rsid w:val="00434FC9"/>
    <w:rsid w:val="00435750"/>
    <w:rsid w:val="00436D74"/>
    <w:rsid w:val="00436DA6"/>
    <w:rsid w:val="00437D31"/>
    <w:rsid w:val="00440024"/>
    <w:rsid w:val="004414D4"/>
    <w:rsid w:val="004415D8"/>
    <w:rsid w:val="0044254D"/>
    <w:rsid w:val="0044291E"/>
    <w:rsid w:val="0044298B"/>
    <w:rsid w:val="004434AB"/>
    <w:rsid w:val="00443605"/>
    <w:rsid w:val="00443736"/>
    <w:rsid w:val="00443B3B"/>
    <w:rsid w:val="00443BB7"/>
    <w:rsid w:val="00444EC3"/>
    <w:rsid w:val="004451F0"/>
    <w:rsid w:val="00445259"/>
    <w:rsid w:val="00445512"/>
    <w:rsid w:val="00445864"/>
    <w:rsid w:val="00445B1A"/>
    <w:rsid w:val="00445D3C"/>
    <w:rsid w:val="00445D67"/>
    <w:rsid w:val="0044721D"/>
    <w:rsid w:val="00451B35"/>
    <w:rsid w:val="00452151"/>
    <w:rsid w:val="00452174"/>
    <w:rsid w:val="00452291"/>
    <w:rsid w:val="00452523"/>
    <w:rsid w:val="00452617"/>
    <w:rsid w:val="00452BD9"/>
    <w:rsid w:val="004536BE"/>
    <w:rsid w:val="00453CA4"/>
    <w:rsid w:val="00455C9A"/>
    <w:rsid w:val="00455DE7"/>
    <w:rsid w:val="00456EB2"/>
    <w:rsid w:val="00457435"/>
    <w:rsid w:val="004578EE"/>
    <w:rsid w:val="00457BE6"/>
    <w:rsid w:val="0046072E"/>
    <w:rsid w:val="00461712"/>
    <w:rsid w:val="004633B4"/>
    <w:rsid w:val="00463987"/>
    <w:rsid w:val="004655EF"/>
    <w:rsid w:val="00466BAA"/>
    <w:rsid w:val="00467E70"/>
    <w:rsid w:val="004705C3"/>
    <w:rsid w:val="00470F5C"/>
    <w:rsid w:val="00471AC3"/>
    <w:rsid w:val="00471EE7"/>
    <w:rsid w:val="00471FD3"/>
    <w:rsid w:val="00472192"/>
    <w:rsid w:val="004725C7"/>
    <w:rsid w:val="0047321D"/>
    <w:rsid w:val="00473D9F"/>
    <w:rsid w:val="00474EDF"/>
    <w:rsid w:val="00475BCA"/>
    <w:rsid w:val="004764EF"/>
    <w:rsid w:val="00476995"/>
    <w:rsid w:val="004771D8"/>
    <w:rsid w:val="004806F3"/>
    <w:rsid w:val="00480DC4"/>
    <w:rsid w:val="00481686"/>
    <w:rsid w:val="0048257E"/>
    <w:rsid w:val="00483739"/>
    <w:rsid w:val="004848FE"/>
    <w:rsid w:val="004849F3"/>
    <w:rsid w:val="004852C9"/>
    <w:rsid w:val="0048708D"/>
    <w:rsid w:val="00487CD3"/>
    <w:rsid w:val="00487F0A"/>
    <w:rsid w:val="00487F33"/>
    <w:rsid w:val="00490B73"/>
    <w:rsid w:val="00491433"/>
    <w:rsid w:val="00491D3C"/>
    <w:rsid w:val="00492303"/>
    <w:rsid w:val="0049270B"/>
    <w:rsid w:val="00492B0A"/>
    <w:rsid w:val="00492E16"/>
    <w:rsid w:val="00493B8F"/>
    <w:rsid w:val="00493F04"/>
    <w:rsid w:val="0049447A"/>
    <w:rsid w:val="004953BC"/>
    <w:rsid w:val="00495CB8"/>
    <w:rsid w:val="00495D50"/>
    <w:rsid w:val="004961B2"/>
    <w:rsid w:val="004966C7"/>
    <w:rsid w:val="004967FC"/>
    <w:rsid w:val="00496B8B"/>
    <w:rsid w:val="00497C7C"/>
    <w:rsid w:val="004A0A64"/>
    <w:rsid w:val="004A0CAA"/>
    <w:rsid w:val="004A0F8D"/>
    <w:rsid w:val="004A14C9"/>
    <w:rsid w:val="004A35FD"/>
    <w:rsid w:val="004A3B28"/>
    <w:rsid w:val="004A3EBE"/>
    <w:rsid w:val="004A5235"/>
    <w:rsid w:val="004A543C"/>
    <w:rsid w:val="004A5741"/>
    <w:rsid w:val="004A596C"/>
    <w:rsid w:val="004A63AD"/>
    <w:rsid w:val="004A6794"/>
    <w:rsid w:val="004B00B2"/>
    <w:rsid w:val="004B088B"/>
    <w:rsid w:val="004B15E9"/>
    <w:rsid w:val="004B17D9"/>
    <w:rsid w:val="004B1EC5"/>
    <w:rsid w:val="004B2332"/>
    <w:rsid w:val="004B2BA5"/>
    <w:rsid w:val="004B2CD9"/>
    <w:rsid w:val="004B3280"/>
    <w:rsid w:val="004B3B7F"/>
    <w:rsid w:val="004B40B7"/>
    <w:rsid w:val="004B4329"/>
    <w:rsid w:val="004B4D52"/>
    <w:rsid w:val="004B52DE"/>
    <w:rsid w:val="004B5DE2"/>
    <w:rsid w:val="004B6380"/>
    <w:rsid w:val="004B6455"/>
    <w:rsid w:val="004B7496"/>
    <w:rsid w:val="004C07AA"/>
    <w:rsid w:val="004C08B5"/>
    <w:rsid w:val="004C1CDB"/>
    <w:rsid w:val="004C31DC"/>
    <w:rsid w:val="004C3868"/>
    <w:rsid w:val="004C423B"/>
    <w:rsid w:val="004C4286"/>
    <w:rsid w:val="004C446E"/>
    <w:rsid w:val="004C44F0"/>
    <w:rsid w:val="004C4520"/>
    <w:rsid w:val="004C53DD"/>
    <w:rsid w:val="004C5C07"/>
    <w:rsid w:val="004C6149"/>
    <w:rsid w:val="004C6A56"/>
    <w:rsid w:val="004C6C54"/>
    <w:rsid w:val="004C7152"/>
    <w:rsid w:val="004C7283"/>
    <w:rsid w:val="004D08C9"/>
    <w:rsid w:val="004D0B5B"/>
    <w:rsid w:val="004D0E36"/>
    <w:rsid w:val="004D0F9A"/>
    <w:rsid w:val="004D0FA2"/>
    <w:rsid w:val="004D22B5"/>
    <w:rsid w:val="004D2805"/>
    <w:rsid w:val="004D2AFB"/>
    <w:rsid w:val="004D2D7A"/>
    <w:rsid w:val="004D389A"/>
    <w:rsid w:val="004D38E6"/>
    <w:rsid w:val="004D3965"/>
    <w:rsid w:val="004D3D3D"/>
    <w:rsid w:val="004D4386"/>
    <w:rsid w:val="004D4F01"/>
    <w:rsid w:val="004D55F4"/>
    <w:rsid w:val="004D61BA"/>
    <w:rsid w:val="004D6417"/>
    <w:rsid w:val="004D6650"/>
    <w:rsid w:val="004D66CD"/>
    <w:rsid w:val="004D7711"/>
    <w:rsid w:val="004D7A67"/>
    <w:rsid w:val="004E1536"/>
    <w:rsid w:val="004E15ED"/>
    <w:rsid w:val="004E3B5B"/>
    <w:rsid w:val="004E401A"/>
    <w:rsid w:val="004E55FA"/>
    <w:rsid w:val="004E5D16"/>
    <w:rsid w:val="004E5F4A"/>
    <w:rsid w:val="004F0ABF"/>
    <w:rsid w:val="004F4351"/>
    <w:rsid w:val="004F49E6"/>
    <w:rsid w:val="004F4D8C"/>
    <w:rsid w:val="004F5193"/>
    <w:rsid w:val="004F5744"/>
    <w:rsid w:val="004F5DAF"/>
    <w:rsid w:val="004F5FA8"/>
    <w:rsid w:val="004F6047"/>
    <w:rsid w:val="004F710C"/>
    <w:rsid w:val="004F7C0E"/>
    <w:rsid w:val="004F7D5A"/>
    <w:rsid w:val="004F7FAA"/>
    <w:rsid w:val="005002AC"/>
    <w:rsid w:val="00500448"/>
    <w:rsid w:val="0050117D"/>
    <w:rsid w:val="00502EA5"/>
    <w:rsid w:val="00503410"/>
    <w:rsid w:val="0050357C"/>
    <w:rsid w:val="0050374B"/>
    <w:rsid w:val="005038BC"/>
    <w:rsid w:val="00503B91"/>
    <w:rsid w:val="00504907"/>
    <w:rsid w:val="005054E3"/>
    <w:rsid w:val="00505AEC"/>
    <w:rsid w:val="00506052"/>
    <w:rsid w:val="005068DB"/>
    <w:rsid w:val="00506F18"/>
    <w:rsid w:val="00507306"/>
    <w:rsid w:val="00507801"/>
    <w:rsid w:val="00507CD8"/>
    <w:rsid w:val="00510723"/>
    <w:rsid w:val="00510871"/>
    <w:rsid w:val="00510CBE"/>
    <w:rsid w:val="00511638"/>
    <w:rsid w:val="0051239C"/>
    <w:rsid w:val="005124CD"/>
    <w:rsid w:val="00512881"/>
    <w:rsid w:val="00513A37"/>
    <w:rsid w:val="00514915"/>
    <w:rsid w:val="00515062"/>
    <w:rsid w:val="0051606A"/>
    <w:rsid w:val="005163A6"/>
    <w:rsid w:val="00516979"/>
    <w:rsid w:val="00516C03"/>
    <w:rsid w:val="0052055E"/>
    <w:rsid w:val="005220B9"/>
    <w:rsid w:val="0052254F"/>
    <w:rsid w:val="00522A90"/>
    <w:rsid w:val="005233D9"/>
    <w:rsid w:val="0052395D"/>
    <w:rsid w:val="0052417C"/>
    <w:rsid w:val="0052439F"/>
    <w:rsid w:val="00525807"/>
    <w:rsid w:val="00526BDE"/>
    <w:rsid w:val="00527469"/>
    <w:rsid w:val="005314B2"/>
    <w:rsid w:val="00531FC4"/>
    <w:rsid w:val="00532A75"/>
    <w:rsid w:val="00533064"/>
    <w:rsid w:val="005330C8"/>
    <w:rsid w:val="00533545"/>
    <w:rsid w:val="00534CAF"/>
    <w:rsid w:val="00534E8D"/>
    <w:rsid w:val="005354D1"/>
    <w:rsid w:val="00535818"/>
    <w:rsid w:val="00535975"/>
    <w:rsid w:val="00536441"/>
    <w:rsid w:val="00536779"/>
    <w:rsid w:val="005369AB"/>
    <w:rsid w:val="0053747F"/>
    <w:rsid w:val="00537DF3"/>
    <w:rsid w:val="00540FB4"/>
    <w:rsid w:val="00541635"/>
    <w:rsid w:val="00541638"/>
    <w:rsid w:val="00542763"/>
    <w:rsid w:val="00543308"/>
    <w:rsid w:val="00543429"/>
    <w:rsid w:val="00543BF8"/>
    <w:rsid w:val="0054431B"/>
    <w:rsid w:val="005447AB"/>
    <w:rsid w:val="005447D3"/>
    <w:rsid w:val="00545736"/>
    <w:rsid w:val="00545D5B"/>
    <w:rsid w:val="00545ECE"/>
    <w:rsid w:val="00546104"/>
    <w:rsid w:val="00546B9B"/>
    <w:rsid w:val="00546DD8"/>
    <w:rsid w:val="00546F2A"/>
    <w:rsid w:val="00547F10"/>
    <w:rsid w:val="005501C1"/>
    <w:rsid w:val="00550AC6"/>
    <w:rsid w:val="00550BF3"/>
    <w:rsid w:val="00551AD5"/>
    <w:rsid w:val="00551CC4"/>
    <w:rsid w:val="00552218"/>
    <w:rsid w:val="005526EE"/>
    <w:rsid w:val="00552775"/>
    <w:rsid w:val="00552EEB"/>
    <w:rsid w:val="0055341C"/>
    <w:rsid w:val="005539C9"/>
    <w:rsid w:val="00553EAE"/>
    <w:rsid w:val="00554377"/>
    <w:rsid w:val="0055453E"/>
    <w:rsid w:val="00555151"/>
    <w:rsid w:val="005554A1"/>
    <w:rsid w:val="00555916"/>
    <w:rsid w:val="0055620E"/>
    <w:rsid w:val="005562DB"/>
    <w:rsid w:val="00556DCF"/>
    <w:rsid w:val="0055710E"/>
    <w:rsid w:val="00557322"/>
    <w:rsid w:val="0055780A"/>
    <w:rsid w:val="005579D3"/>
    <w:rsid w:val="00557A6C"/>
    <w:rsid w:val="0056053D"/>
    <w:rsid w:val="0056055A"/>
    <w:rsid w:val="0056119C"/>
    <w:rsid w:val="00561D46"/>
    <w:rsid w:val="00561F98"/>
    <w:rsid w:val="00563348"/>
    <w:rsid w:val="00563DFC"/>
    <w:rsid w:val="00564EA5"/>
    <w:rsid w:val="00565568"/>
    <w:rsid w:val="00565C9E"/>
    <w:rsid w:val="00565DF6"/>
    <w:rsid w:val="005702C6"/>
    <w:rsid w:val="005702E9"/>
    <w:rsid w:val="005706C4"/>
    <w:rsid w:val="005707E4"/>
    <w:rsid w:val="005708FC"/>
    <w:rsid w:val="00570B3C"/>
    <w:rsid w:val="00570EAF"/>
    <w:rsid w:val="00571607"/>
    <w:rsid w:val="0057179A"/>
    <w:rsid w:val="0057223B"/>
    <w:rsid w:val="00572D3B"/>
    <w:rsid w:val="005733F0"/>
    <w:rsid w:val="00574809"/>
    <w:rsid w:val="0057480F"/>
    <w:rsid w:val="00574EC3"/>
    <w:rsid w:val="00576478"/>
    <w:rsid w:val="0057680C"/>
    <w:rsid w:val="005770DA"/>
    <w:rsid w:val="005775EB"/>
    <w:rsid w:val="00577ECA"/>
    <w:rsid w:val="005800C7"/>
    <w:rsid w:val="005800DC"/>
    <w:rsid w:val="005802A4"/>
    <w:rsid w:val="0058053B"/>
    <w:rsid w:val="0058065A"/>
    <w:rsid w:val="00580AE1"/>
    <w:rsid w:val="00581A9F"/>
    <w:rsid w:val="00582776"/>
    <w:rsid w:val="00582BFB"/>
    <w:rsid w:val="00582DB4"/>
    <w:rsid w:val="00582FF8"/>
    <w:rsid w:val="00583220"/>
    <w:rsid w:val="00583C9E"/>
    <w:rsid w:val="00583DD8"/>
    <w:rsid w:val="00583ECF"/>
    <w:rsid w:val="00584C39"/>
    <w:rsid w:val="00584C61"/>
    <w:rsid w:val="005851B5"/>
    <w:rsid w:val="005859A1"/>
    <w:rsid w:val="0058669D"/>
    <w:rsid w:val="00586FB1"/>
    <w:rsid w:val="00586FB8"/>
    <w:rsid w:val="00587F13"/>
    <w:rsid w:val="005901B8"/>
    <w:rsid w:val="005916CB"/>
    <w:rsid w:val="00591C5D"/>
    <w:rsid w:val="00593885"/>
    <w:rsid w:val="00593B13"/>
    <w:rsid w:val="005942F3"/>
    <w:rsid w:val="0059569F"/>
    <w:rsid w:val="00595851"/>
    <w:rsid w:val="00596728"/>
    <w:rsid w:val="00596966"/>
    <w:rsid w:val="005969C4"/>
    <w:rsid w:val="00597D1A"/>
    <w:rsid w:val="00597DEF"/>
    <w:rsid w:val="005A0023"/>
    <w:rsid w:val="005A0027"/>
    <w:rsid w:val="005A0565"/>
    <w:rsid w:val="005A0D35"/>
    <w:rsid w:val="005A0E35"/>
    <w:rsid w:val="005A256B"/>
    <w:rsid w:val="005A26FD"/>
    <w:rsid w:val="005A35A4"/>
    <w:rsid w:val="005A391A"/>
    <w:rsid w:val="005A3A14"/>
    <w:rsid w:val="005A3AFE"/>
    <w:rsid w:val="005A3E4D"/>
    <w:rsid w:val="005A4688"/>
    <w:rsid w:val="005A46EF"/>
    <w:rsid w:val="005A4966"/>
    <w:rsid w:val="005A4B72"/>
    <w:rsid w:val="005A52D7"/>
    <w:rsid w:val="005A574C"/>
    <w:rsid w:val="005A5913"/>
    <w:rsid w:val="005A7220"/>
    <w:rsid w:val="005B012F"/>
    <w:rsid w:val="005B0E47"/>
    <w:rsid w:val="005B164B"/>
    <w:rsid w:val="005B189D"/>
    <w:rsid w:val="005B20CD"/>
    <w:rsid w:val="005B2390"/>
    <w:rsid w:val="005B2455"/>
    <w:rsid w:val="005B3A7B"/>
    <w:rsid w:val="005B3B5D"/>
    <w:rsid w:val="005B4F24"/>
    <w:rsid w:val="005B6F11"/>
    <w:rsid w:val="005B7E50"/>
    <w:rsid w:val="005C0EEF"/>
    <w:rsid w:val="005C1277"/>
    <w:rsid w:val="005C1FBD"/>
    <w:rsid w:val="005C2464"/>
    <w:rsid w:val="005C24C8"/>
    <w:rsid w:val="005C39C8"/>
    <w:rsid w:val="005C444C"/>
    <w:rsid w:val="005C57B4"/>
    <w:rsid w:val="005C60E1"/>
    <w:rsid w:val="005C6283"/>
    <w:rsid w:val="005C662A"/>
    <w:rsid w:val="005C69D8"/>
    <w:rsid w:val="005C6B25"/>
    <w:rsid w:val="005D01CE"/>
    <w:rsid w:val="005D036E"/>
    <w:rsid w:val="005D0D0F"/>
    <w:rsid w:val="005D0D32"/>
    <w:rsid w:val="005D109C"/>
    <w:rsid w:val="005D170F"/>
    <w:rsid w:val="005D29E8"/>
    <w:rsid w:val="005D2BA4"/>
    <w:rsid w:val="005D2DC8"/>
    <w:rsid w:val="005D36D1"/>
    <w:rsid w:val="005D5AED"/>
    <w:rsid w:val="005D6231"/>
    <w:rsid w:val="005D63D8"/>
    <w:rsid w:val="005D7131"/>
    <w:rsid w:val="005E00B4"/>
    <w:rsid w:val="005E02A2"/>
    <w:rsid w:val="005E0C1F"/>
    <w:rsid w:val="005E11CA"/>
    <w:rsid w:val="005E2065"/>
    <w:rsid w:val="005E256D"/>
    <w:rsid w:val="005E2FC3"/>
    <w:rsid w:val="005E37CA"/>
    <w:rsid w:val="005E3CBF"/>
    <w:rsid w:val="005E3E0D"/>
    <w:rsid w:val="005E486C"/>
    <w:rsid w:val="005E508B"/>
    <w:rsid w:val="005E51BD"/>
    <w:rsid w:val="005E587F"/>
    <w:rsid w:val="005E5ED7"/>
    <w:rsid w:val="005E628C"/>
    <w:rsid w:val="005E6B00"/>
    <w:rsid w:val="005E7609"/>
    <w:rsid w:val="005E7A47"/>
    <w:rsid w:val="005F09B7"/>
    <w:rsid w:val="005F0FE2"/>
    <w:rsid w:val="005F255B"/>
    <w:rsid w:val="005F2CA8"/>
    <w:rsid w:val="005F3169"/>
    <w:rsid w:val="005F3643"/>
    <w:rsid w:val="005F4659"/>
    <w:rsid w:val="005F787C"/>
    <w:rsid w:val="005F7CB0"/>
    <w:rsid w:val="005F7D90"/>
    <w:rsid w:val="00601C05"/>
    <w:rsid w:val="00601C53"/>
    <w:rsid w:val="00602643"/>
    <w:rsid w:val="00602CE7"/>
    <w:rsid w:val="00602DDA"/>
    <w:rsid w:val="00603FBA"/>
    <w:rsid w:val="00604BC3"/>
    <w:rsid w:val="0060563A"/>
    <w:rsid w:val="006057B3"/>
    <w:rsid w:val="00605C18"/>
    <w:rsid w:val="006060C0"/>
    <w:rsid w:val="00606138"/>
    <w:rsid w:val="00606B32"/>
    <w:rsid w:val="006074E9"/>
    <w:rsid w:val="0060770B"/>
    <w:rsid w:val="00607D16"/>
    <w:rsid w:val="00611207"/>
    <w:rsid w:val="006112E5"/>
    <w:rsid w:val="0061139C"/>
    <w:rsid w:val="00611400"/>
    <w:rsid w:val="00611502"/>
    <w:rsid w:val="00611E24"/>
    <w:rsid w:val="006121E7"/>
    <w:rsid w:val="006126A6"/>
    <w:rsid w:val="0061359E"/>
    <w:rsid w:val="00613CB2"/>
    <w:rsid w:val="00613D62"/>
    <w:rsid w:val="00614B1B"/>
    <w:rsid w:val="006157A0"/>
    <w:rsid w:val="00616495"/>
    <w:rsid w:val="00616A2B"/>
    <w:rsid w:val="00617061"/>
    <w:rsid w:val="00617379"/>
    <w:rsid w:val="006173FC"/>
    <w:rsid w:val="006178AE"/>
    <w:rsid w:val="00620D96"/>
    <w:rsid w:val="00620DCC"/>
    <w:rsid w:val="00620E49"/>
    <w:rsid w:val="00621DBE"/>
    <w:rsid w:val="006223D9"/>
    <w:rsid w:val="00622E1D"/>
    <w:rsid w:val="00622E89"/>
    <w:rsid w:val="0062319C"/>
    <w:rsid w:val="006244EF"/>
    <w:rsid w:val="00625219"/>
    <w:rsid w:val="00626ACD"/>
    <w:rsid w:val="006277F5"/>
    <w:rsid w:val="006278A0"/>
    <w:rsid w:val="006317F0"/>
    <w:rsid w:val="00631AEB"/>
    <w:rsid w:val="00631D75"/>
    <w:rsid w:val="00631EEA"/>
    <w:rsid w:val="00632518"/>
    <w:rsid w:val="00632AA4"/>
    <w:rsid w:val="006330CE"/>
    <w:rsid w:val="00633641"/>
    <w:rsid w:val="00633A4F"/>
    <w:rsid w:val="0063485A"/>
    <w:rsid w:val="00635059"/>
    <w:rsid w:val="0063604D"/>
    <w:rsid w:val="00637C16"/>
    <w:rsid w:val="00641580"/>
    <w:rsid w:val="0064159A"/>
    <w:rsid w:val="00641AFE"/>
    <w:rsid w:val="00642222"/>
    <w:rsid w:val="0064238B"/>
    <w:rsid w:val="006423DF"/>
    <w:rsid w:val="00643B2E"/>
    <w:rsid w:val="00644448"/>
    <w:rsid w:val="006444C2"/>
    <w:rsid w:val="00646475"/>
    <w:rsid w:val="00646C74"/>
    <w:rsid w:val="00647104"/>
    <w:rsid w:val="00647AD5"/>
    <w:rsid w:val="00647C68"/>
    <w:rsid w:val="00651E87"/>
    <w:rsid w:val="0065246F"/>
    <w:rsid w:val="00652D02"/>
    <w:rsid w:val="00652EB6"/>
    <w:rsid w:val="00653064"/>
    <w:rsid w:val="00654125"/>
    <w:rsid w:val="006542A9"/>
    <w:rsid w:val="006547DA"/>
    <w:rsid w:val="00654EB0"/>
    <w:rsid w:val="006553B7"/>
    <w:rsid w:val="00655A14"/>
    <w:rsid w:val="006564BD"/>
    <w:rsid w:val="006565CF"/>
    <w:rsid w:val="00657445"/>
    <w:rsid w:val="00657BCF"/>
    <w:rsid w:val="00657C5D"/>
    <w:rsid w:val="0066095B"/>
    <w:rsid w:val="006610A1"/>
    <w:rsid w:val="0066179F"/>
    <w:rsid w:val="00661C77"/>
    <w:rsid w:val="00662B1C"/>
    <w:rsid w:val="00662D1E"/>
    <w:rsid w:val="00662DDC"/>
    <w:rsid w:val="00663E82"/>
    <w:rsid w:val="00663EEB"/>
    <w:rsid w:val="00663EFE"/>
    <w:rsid w:val="0066475F"/>
    <w:rsid w:val="00664831"/>
    <w:rsid w:val="00664DB7"/>
    <w:rsid w:val="0066580D"/>
    <w:rsid w:val="0066588D"/>
    <w:rsid w:val="00665A5D"/>
    <w:rsid w:val="00665E56"/>
    <w:rsid w:val="00665F74"/>
    <w:rsid w:val="00666116"/>
    <w:rsid w:val="00666BB7"/>
    <w:rsid w:val="00666BC7"/>
    <w:rsid w:val="00666D53"/>
    <w:rsid w:val="00666E4E"/>
    <w:rsid w:val="00666E6E"/>
    <w:rsid w:val="00667E7B"/>
    <w:rsid w:val="00671348"/>
    <w:rsid w:val="00671418"/>
    <w:rsid w:val="00671D66"/>
    <w:rsid w:val="0067209E"/>
    <w:rsid w:val="00672A0F"/>
    <w:rsid w:val="00672E7E"/>
    <w:rsid w:val="00673ADE"/>
    <w:rsid w:val="00673FC1"/>
    <w:rsid w:val="00675F31"/>
    <w:rsid w:val="006760A7"/>
    <w:rsid w:val="00677155"/>
    <w:rsid w:val="00677385"/>
    <w:rsid w:val="0067766F"/>
    <w:rsid w:val="006777D0"/>
    <w:rsid w:val="00677A7B"/>
    <w:rsid w:val="00680087"/>
    <w:rsid w:val="00680210"/>
    <w:rsid w:val="00680553"/>
    <w:rsid w:val="00680AFA"/>
    <w:rsid w:val="00680EC5"/>
    <w:rsid w:val="00681A0D"/>
    <w:rsid w:val="00681B4A"/>
    <w:rsid w:val="00681F8E"/>
    <w:rsid w:val="00683146"/>
    <w:rsid w:val="006839D3"/>
    <w:rsid w:val="00683DE1"/>
    <w:rsid w:val="0068400D"/>
    <w:rsid w:val="00684A0E"/>
    <w:rsid w:val="00684B26"/>
    <w:rsid w:val="00684BFC"/>
    <w:rsid w:val="006851B6"/>
    <w:rsid w:val="006862C0"/>
    <w:rsid w:val="00687003"/>
    <w:rsid w:val="00687FD9"/>
    <w:rsid w:val="00690677"/>
    <w:rsid w:val="006907E3"/>
    <w:rsid w:val="00690919"/>
    <w:rsid w:val="006921AD"/>
    <w:rsid w:val="00692447"/>
    <w:rsid w:val="006938C8"/>
    <w:rsid w:val="006945D3"/>
    <w:rsid w:val="00695597"/>
    <w:rsid w:val="0069662F"/>
    <w:rsid w:val="00696904"/>
    <w:rsid w:val="00696D86"/>
    <w:rsid w:val="006972DC"/>
    <w:rsid w:val="006975F0"/>
    <w:rsid w:val="00697776"/>
    <w:rsid w:val="006A0193"/>
    <w:rsid w:val="006A07B9"/>
    <w:rsid w:val="006A140D"/>
    <w:rsid w:val="006A1515"/>
    <w:rsid w:val="006A27A6"/>
    <w:rsid w:val="006A2F17"/>
    <w:rsid w:val="006A423D"/>
    <w:rsid w:val="006A6DA5"/>
    <w:rsid w:val="006A70C6"/>
    <w:rsid w:val="006A7723"/>
    <w:rsid w:val="006A7DAD"/>
    <w:rsid w:val="006B0A40"/>
    <w:rsid w:val="006B1F36"/>
    <w:rsid w:val="006B207F"/>
    <w:rsid w:val="006B2317"/>
    <w:rsid w:val="006B33F3"/>
    <w:rsid w:val="006B45A1"/>
    <w:rsid w:val="006B4EEB"/>
    <w:rsid w:val="006B5088"/>
    <w:rsid w:val="006B5414"/>
    <w:rsid w:val="006B5510"/>
    <w:rsid w:val="006B5A8E"/>
    <w:rsid w:val="006B6026"/>
    <w:rsid w:val="006B61B3"/>
    <w:rsid w:val="006B6CA1"/>
    <w:rsid w:val="006B6FC4"/>
    <w:rsid w:val="006B705F"/>
    <w:rsid w:val="006B75B0"/>
    <w:rsid w:val="006B76CA"/>
    <w:rsid w:val="006B7701"/>
    <w:rsid w:val="006B7DCD"/>
    <w:rsid w:val="006C069D"/>
    <w:rsid w:val="006C21BE"/>
    <w:rsid w:val="006C44F5"/>
    <w:rsid w:val="006C5F8B"/>
    <w:rsid w:val="006C6229"/>
    <w:rsid w:val="006C62C7"/>
    <w:rsid w:val="006C776C"/>
    <w:rsid w:val="006D0743"/>
    <w:rsid w:val="006D09C0"/>
    <w:rsid w:val="006D09D7"/>
    <w:rsid w:val="006D0FA8"/>
    <w:rsid w:val="006D11A1"/>
    <w:rsid w:val="006D168D"/>
    <w:rsid w:val="006D3AD9"/>
    <w:rsid w:val="006D3C60"/>
    <w:rsid w:val="006D3FE6"/>
    <w:rsid w:val="006D4B43"/>
    <w:rsid w:val="006D5643"/>
    <w:rsid w:val="006D5BBE"/>
    <w:rsid w:val="006D655F"/>
    <w:rsid w:val="006D67CB"/>
    <w:rsid w:val="006D681B"/>
    <w:rsid w:val="006D69A5"/>
    <w:rsid w:val="006D6A08"/>
    <w:rsid w:val="006D6AB4"/>
    <w:rsid w:val="006D6AC4"/>
    <w:rsid w:val="006D7661"/>
    <w:rsid w:val="006D76F0"/>
    <w:rsid w:val="006D7B79"/>
    <w:rsid w:val="006D7B8B"/>
    <w:rsid w:val="006E046D"/>
    <w:rsid w:val="006E051F"/>
    <w:rsid w:val="006E0ADA"/>
    <w:rsid w:val="006E0CE2"/>
    <w:rsid w:val="006E0E36"/>
    <w:rsid w:val="006E1A9C"/>
    <w:rsid w:val="006E1CD3"/>
    <w:rsid w:val="006E208A"/>
    <w:rsid w:val="006E21EA"/>
    <w:rsid w:val="006E256F"/>
    <w:rsid w:val="006E332C"/>
    <w:rsid w:val="006E37B6"/>
    <w:rsid w:val="006E42B1"/>
    <w:rsid w:val="006E4404"/>
    <w:rsid w:val="006E46CC"/>
    <w:rsid w:val="006E5205"/>
    <w:rsid w:val="006E6B48"/>
    <w:rsid w:val="006E6CE2"/>
    <w:rsid w:val="006E6DED"/>
    <w:rsid w:val="006E70D5"/>
    <w:rsid w:val="006E7BBB"/>
    <w:rsid w:val="006F00C8"/>
    <w:rsid w:val="006F04A6"/>
    <w:rsid w:val="006F0C24"/>
    <w:rsid w:val="006F1B74"/>
    <w:rsid w:val="006F206E"/>
    <w:rsid w:val="006F2679"/>
    <w:rsid w:val="006F286B"/>
    <w:rsid w:val="006F2DFC"/>
    <w:rsid w:val="006F377F"/>
    <w:rsid w:val="006F3845"/>
    <w:rsid w:val="006F3BFC"/>
    <w:rsid w:val="006F3EED"/>
    <w:rsid w:val="006F454A"/>
    <w:rsid w:val="006F4AA3"/>
    <w:rsid w:val="006F5A5C"/>
    <w:rsid w:val="006F68C6"/>
    <w:rsid w:val="006F6C9E"/>
    <w:rsid w:val="006F7C58"/>
    <w:rsid w:val="00700C90"/>
    <w:rsid w:val="007013FE"/>
    <w:rsid w:val="00701449"/>
    <w:rsid w:val="007015A3"/>
    <w:rsid w:val="00701B1F"/>
    <w:rsid w:val="00702BEA"/>
    <w:rsid w:val="00703ED8"/>
    <w:rsid w:val="00704426"/>
    <w:rsid w:val="00704862"/>
    <w:rsid w:val="00705E36"/>
    <w:rsid w:val="00706137"/>
    <w:rsid w:val="00706359"/>
    <w:rsid w:val="00706371"/>
    <w:rsid w:val="007077A6"/>
    <w:rsid w:val="00710364"/>
    <w:rsid w:val="00710414"/>
    <w:rsid w:val="00710C55"/>
    <w:rsid w:val="00710F72"/>
    <w:rsid w:val="00712A38"/>
    <w:rsid w:val="00712C20"/>
    <w:rsid w:val="007134BC"/>
    <w:rsid w:val="007136D5"/>
    <w:rsid w:val="00713A5D"/>
    <w:rsid w:val="00713D72"/>
    <w:rsid w:val="007143F4"/>
    <w:rsid w:val="007147F6"/>
    <w:rsid w:val="00714D3B"/>
    <w:rsid w:val="00715104"/>
    <w:rsid w:val="00715AC8"/>
    <w:rsid w:val="00715FC5"/>
    <w:rsid w:val="007163C3"/>
    <w:rsid w:val="00716408"/>
    <w:rsid w:val="007165CA"/>
    <w:rsid w:val="00716D4A"/>
    <w:rsid w:val="00717573"/>
    <w:rsid w:val="00717D30"/>
    <w:rsid w:val="007206E7"/>
    <w:rsid w:val="00721389"/>
    <w:rsid w:val="007214D0"/>
    <w:rsid w:val="00722820"/>
    <w:rsid w:val="007237F8"/>
    <w:rsid w:val="0072436F"/>
    <w:rsid w:val="0072452D"/>
    <w:rsid w:val="00724E12"/>
    <w:rsid w:val="0072691C"/>
    <w:rsid w:val="00726D32"/>
    <w:rsid w:val="00726DDE"/>
    <w:rsid w:val="00727129"/>
    <w:rsid w:val="007272D7"/>
    <w:rsid w:val="00730302"/>
    <w:rsid w:val="007313B4"/>
    <w:rsid w:val="007315DB"/>
    <w:rsid w:val="00732E5D"/>
    <w:rsid w:val="00734347"/>
    <w:rsid w:val="007348AB"/>
    <w:rsid w:val="007349C4"/>
    <w:rsid w:val="00734B38"/>
    <w:rsid w:val="0073535B"/>
    <w:rsid w:val="00735F80"/>
    <w:rsid w:val="00736043"/>
    <w:rsid w:val="00740314"/>
    <w:rsid w:val="007407FB"/>
    <w:rsid w:val="00740CC6"/>
    <w:rsid w:val="00741983"/>
    <w:rsid w:val="00741BF6"/>
    <w:rsid w:val="007424BC"/>
    <w:rsid w:val="00742628"/>
    <w:rsid w:val="007428AE"/>
    <w:rsid w:val="007440AD"/>
    <w:rsid w:val="007441BC"/>
    <w:rsid w:val="007449FA"/>
    <w:rsid w:val="00745F18"/>
    <w:rsid w:val="00746A0C"/>
    <w:rsid w:val="007470DA"/>
    <w:rsid w:val="00747106"/>
    <w:rsid w:val="007479DE"/>
    <w:rsid w:val="007515CC"/>
    <w:rsid w:val="00752443"/>
    <w:rsid w:val="00752F9F"/>
    <w:rsid w:val="007536E5"/>
    <w:rsid w:val="00753AE3"/>
    <w:rsid w:val="00753BF1"/>
    <w:rsid w:val="00753D93"/>
    <w:rsid w:val="00753F70"/>
    <w:rsid w:val="007547B6"/>
    <w:rsid w:val="00754883"/>
    <w:rsid w:val="00754AE9"/>
    <w:rsid w:val="00754BE9"/>
    <w:rsid w:val="00755723"/>
    <w:rsid w:val="007562A2"/>
    <w:rsid w:val="00756982"/>
    <w:rsid w:val="00757066"/>
    <w:rsid w:val="0075762D"/>
    <w:rsid w:val="007617C9"/>
    <w:rsid w:val="00761CC0"/>
    <w:rsid w:val="00761EF0"/>
    <w:rsid w:val="00763B49"/>
    <w:rsid w:val="0076403C"/>
    <w:rsid w:val="00765760"/>
    <w:rsid w:val="00766400"/>
    <w:rsid w:val="007667D1"/>
    <w:rsid w:val="00767490"/>
    <w:rsid w:val="007674D7"/>
    <w:rsid w:val="007678F0"/>
    <w:rsid w:val="00767DB4"/>
    <w:rsid w:val="00770280"/>
    <w:rsid w:val="0077035A"/>
    <w:rsid w:val="00770749"/>
    <w:rsid w:val="00770F47"/>
    <w:rsid w:val="00772404"/>
    <w:rsid w:val="007729FC"/>
    <w:rsid w:val="007738FC"/>
    <w:rsid w:val="007739C2"/>
    <w:rsid w:val="007739FE"/>
    <w:rsid w:val="0077409F"/>
    <w:rsid w:val="00774379"/>
    <w:rsid w:val="007746ED"/>
    <w:rsid w:val="00774B76"/>
    <w:rsid w:val="00775A61"/>
    <w:rsid w:val="00775A66"/>
    <w:rsid w:val="007762EB"/>
    <w:rsid w:val="00776F35"/>
    <w:rsid w:val="00777547"/>
    <w:rsid w:val="00777853"/>
    <w:rsid w:val="00777B21"/>
    <w:rsid w:val="00780AD1"/>
    <w:rsid w:val="00781FFA"/>
    <w:rsid w:val="0078209A"/>
    <w:rsid w:val="00782785"/>
    <w:rsid w:val="00782992"/>
    <w:rsid w:val="00782DDE"/>
    <w:rsid w:val="00782FA5"/>
    <w:rsid w:val="007831A0"/>
    <w:rsid w:val="00783866"/>
    <w:rsid w:val="00783D22"/>
    <w:rsid w:val="00784416"/>
    <w:rsid w:val="0078778C"/>
    <w:rsid w:val="007904CF"/>
    <w:rsid w:val="00790C63"/>
    <w:rsid w:val="0079191A"/>
    <w:rsid w:val="00792134"/>
    <w:rsid w:val="00792580"/>
    <w:rsid w:val="00792D5D"/>
    <w:rsid w:val="00794120"/>
    <w:rsid w:val="00795395"/>
    <w:rsid w:val="00795EE7"/>
    <w:rsid w:val="00796020"/>
    <w:rsid w:val="00796200"/>
    <w:rsid w:val="00796DC4"/>
    <w:rsid w:val="007972A2"/>
    <w:rsid w:val="00797426"/>
    <w:rsid w:val="007A026B"/>
    <w:rsid w:val="007A0ECB"/>
    <w:rsid w:val="007A1811"/>
    <w:rsid w:val="007A2011"/>
    <w:rsid w:val="007A21A4"/>
    <w:rsid w:val="007A5668"/>
    <w:rsid w:val="007A574F"/>
    <w:rsid w:val="007A5BA2"/>
    <w:rsid w:val="007A608A"/>
    <w:rsid w:val="007A712C"/>
    <w:rsid w:val="007A7A89"/>
    <w:rsid w:val="007A7CBB"/>
    <w:rsid w:val="007A7D1D"/>
    <w:rsid w:val="007B090B"/>
    <w:rsid w:val="007B0E37"/>
    <w:rsid w:val="007B280A"/>
    <w:rsid w:val="007B3351"/>
    <w:rsid w:val="007B3B74"/>
    <w:rsid w:val="007B41AB"/>
    <w:rsid w:val="007B4C84"/>
    <w:rsid w:val="007B4F7A"/>
    <w:rsid w:val="007B5FCB"/>
    <w:rsid w:val="007B6035"/>
    <w:rsid w:val="007B69BB"/>
    <w:rsid w:val="007B6B69"/>
    <w:rsid w:val="007B7172"/>
    <w:rsid w:val="007C07C2"/>
    <w:rsid w:val="007C0C82"/>
    <w:rsid w:val="007C179D"/>
    <w:rsid w:val="007C27E2"/>
    <w:rsid w:val="007C2A10"/>
    <w:rsid w:val="007C3020"/>
    <w:rsid w:val="007C406B"/>
    <w:rsid w:val="007C4253"/>
    <w:rsid w:val="007C487B"/>
    <w:rsid w:val="007C52C0"/>
    <w:rsid w:val="007C5485"/>
    <w:rsid w:val="007C5B0F"/>
    <w:rsid w:val="007C618D"/>
    <w:rsid w:val="007C6F69"/>
    <w:rsid w:val="007C7698"/>
    <w:rsid w:val="007D2924"/>
    <w:rsid w:val="007D3037"/>
    <w:rsid w:val="007D3965"/>
    <w:rsid w:val="007D3FFE"/>
    <w:rsid w:val="007D500C"/>
    <w:rsid w:val="007D6328"/>
    <w:rsid w:val="007D66AF"/>
    <w:rsid w:val="007D7D30"/>
    <w:rsid w:val="007E12EE"/>
    <w:rsid w:val="007E15A4"/>
    <w:rsid w:val="007E1F08"/>
    <w:rsid w:val="007E1F52"/>
    <w:rsid w:val="007E22A6"/>
    <w:rsid w:val="007E238E"/>
    <w:rsid w:val="007E23BA"/>
    <w:rsid w:val="007E24B9"/>
    <w:rsid w:val="007E2652"/>
    <w:rsid w:val="007E41CE"/>
    <w:rsid w:val="007E513F"/>
    <w:rsid w:val="007E55B5"/>
    <w:rsid w:val="007E55F7"/>
    <w:rsid w:val="007E56A7"/>
    <w:rsid w:val="007E5C58"/>
    <w:rsid w:val="007E63EA"/>
    <w:rsid w:val="007E6D65"/>
    <w:rsid w:val="007E7192"/>
    <w:rsid w:val="007F0DBC"/>
    <w:rsid w:val="007F1075"/>
    <w:rsid w:val="007F2493"/>
    <w:rsid w:val="007F2E62"/>
    <w:rsid w:val="007F3F5D"/>
    <w:rsid w:val="007F402E"/>
    <w:rsid w:val="007F4B63"/>
    <w:rsid w:val="007F5238"/>
    <w:rsid w:val="007F58F4"/>
    <w:rsid w:val="007F5DEA"/>
    <w:rsid w:val="007F5FD8"/>
    <w:rsid w:val="007F6264"/>
    <w:rsid w:val="007F6274"/>
    <w:rsid w:val="007F6C23"/>
    <w:rsid w:val="007F7777"/>
    <w:rsid w:val="008005AC"/>
    <w:rsid w:val="00801BF9"/>
    <w:rsid w:val="00801D9B"/>
    <w:rsid w:val="00801E3F"/>
    <w:rsid w:val="008029CC"/>
    <w:rsid w:val="0080325B"/>
    <w:rsid w:val="008041F5"/>
    <w:rsid w:val="008042E3"/>
    <w:rsid w:val="00804A84"/>
    <w:rsid w:val="00804BBE"/>
    <w:rsid w:val="00804EEA"/>
    <w:rsid w:val="008058D5"/>
    <w:rsid w:val="008062D3"/>
    <w:rsid w:val="00807C34"/>
    <w:rsid w:val="00807CC7"/>
    <w:rsid w:val="00810067"/>
    <w:rsid w:val="008105EF"/>
    <w:rsid w:val="00810941"/>
    <w:rsid w:val="00810FE4"/>
    <w:rsid w:val="0081119D"/>
    <w:rsid w:val="00811B29"/>
    <w:rsid w:val="00811EA7"/>
    <w:rsid w:val="00813640"/>
    <w:rsid w:val="00813CDA"/>
    <w:rsid w:val="00813F24"/>
    <w:rsid w:val="00814036"/>
    <w:rsid w:val="00814E96"/>
    <w:rsid w:val="0081551C"/>
    <w:rsid w:val="008167B0"/>
    <w:rsid w:val="0081706C"/>
    <w:rsid w:val="008177CF"/>
    <w:rsid w:val="00817D5D"/>
    <w:rsid w:val="0082086F"/>
    <w:rsid w:val="00821E07"/>
    <w:rsid w:val="0082202B"/>
    <w:rsid w:val="00822040"/>
    <w:rsid w:val="0082348F"/>
    <w:rsid w:val="0082389E"/>
    <w:rsid w:val="00823C8A"/>
    <w:rsid w:val="00823D3A"/>
    <w:rsid w:val="0082408B"/>
    <w:rsid w:val="008250E9"/>
    <w:rsid w:val="00825661"/>
    <w:rsid w:val="00825F81"/>
    <w:rsid w:val="00825FFB"/>
    <w:rsid w:val="00826629"/>
    <w:rsid w:val="00826B74"/>
    <w:rsid w:val="00827101"/>
    <w:rsid w:val="00827541"/>
    <w:rsid w:val="00827B62"/>
    <w:rsid w:val="00827B6C"/>
    <w:rsid w:val="00827F6D"/>
    <w:rsid w:val="00830177"/>
    <w:rsid w:val="00830897"/>
    <w:rsid w:val="008308B4"/>
    <w:rsid w:val="00831142"/>
    <w:rsid w:val="0083344B"/>
    <w:rsid w:val="00834422"/>
    <w:rsid w:val="00834EF1"/>
    <w:rsid w:val="008353A3"/>
    <w:rsid w:val="00835476"/>
    <w:rsid w:val="008354F7"/>
    <w:rsid w:val="00836480"/>
    <w:rsid w:val="00836A86"/>
    <w:rsid w:val="00836F18"/>
    <w:rsid w:val="008372C8"/>
    <w:rsid w:val="0083756E"/>
    <w:rsid w:val="00842324"/>
    <w:rsid w:val="00843DF4"/>
    <w:rsid w:val="00843E00"/>
    <w:rsid w:val="00844850"/>
    <w:rsid w:val="008450CC"/>
    <w:rsid w:val="008454EE"/>
    <w:rsid w:val="00845823"/>
    <w:rsid w:val="0084673E"/>
    <w:rsid w:val="00847167"/>
    <w:rsid w:val="008474BC"/>
    <w:rsid w:val="008501FE"/>
    <w:rsid w:val="00850B9B"/>
    <w:rsid w:val="008511A0"/>
    <w:rsid w:val="008511AE"/>
    <w:rsid w:val="00852305"/>
    <w:rsid w:val="008534FF"/>
    <w:rsid w:val="00854460"/>
    <w:rsid w:val="00854C64"/>
    <w:rsid w:val="008552CF"/>
    <w:rsid w:val="008554A6"/>
    <w:rsid w:val="008556F7"/>
    <w:rsid w:val="0085570C"/>
    <w:rsid w:val="0085597B"/>
    <w:rsid w:val="00855C17"/>
    <w:rsid w:val="008569FA"/>
    <w:rsid w:val="00856CF2"/>
    <w:rsid w:val="00856EED"/>
    <w:rsid w:val="00856FEA"/>
    <w:rsid w:val="00857D61"/>
    <w:rsid w:val="00857DF9"/>
    <w:rsid w:val="00857EDE"/>
    <w:rsid w:val="008600CB"/>
    <w:rsid w:val="008600ED"/>
    <w:rsid w:val="00860AE8"/>
    <w:rsid w:val="0086109B"/>
    <w:rsid w:val="008613FC"/>
    <w:rsid w:val="00861D64"/>
    <w:rsid w:val="00862A9F"/>
    <w:rsid w:val="00864206"/>
    <w:rsid w:val="00864AB6"/>
    <w:rsid w:val="00864F1F"/>
    <w:rsid w:val="008654A8"/>
    <w:rsid w:val="0086666F"/>
    <w:rsid w:val="00866ED1"/>
    <w:rsid w:val="008679FA"/>
    <w:rsid w:val="00870867"/>
    <w:rsid w:val="00870A82"/>
    <w:rsid w:val="00870C0C"/>
    <w:rsid w:val="00871CB7"/>
    <w:rsid w:val="00872039"/>
    <w:rsid w:val="00872C56"/>
    <w:rsid w:val="00872D49"/>
    <w:rsid w:val="00872EEB"/>
    <w:rsid w:val="00873753"/>
    <w:rsid w:val="00873C1D"/>
    <w:rsid w:val="008743DE"/>
    <w:rsid w:val="008756B9"/>
    <w:rsid w:val="00876F22"/>
    <w:rsid w:val="008777D5"/>
    <w:rsid w:val="008800CE"/>
    <w:rsid w:val="008806EE"/>
    <w:rsid w:val="00880861"/>
    <w:rsid w:val="00880D23"/>
    <w:rsid w:val="008818F2"/>
    <w:rsid w:val="008821C3"/>
    <w:rsid w:val="00882CE8"/>
    <w:rsid w:val="0088333D"/>
    <w:rsid w:val="00883B7F"/>
    <w:rsid w:val="00883BB8"/>
    <w:rsid w:val="008840E4"/>
    <w:rsid w:val="00884B13"/>
    <w:rsid w:val="00884F45"/>
    <w:rsid w:val="00886200"/>
    <w:rsid w:val="008865CE"/>
    <w:rsid w:val="00886635"/>
    <w:rsid w:val="008872D5"/>
    <w:rsid w:val="00887B38"/>
    <w:rsid w:val="00887CF0"/>
    <w:rsid w:val="00890AD9"/>
    <w:rsid w:val="00890FD3"/>
    <w:rsid w:val="008917C4"/>
    <w:rsid w:val="00891912"/>
    <w:rsid w:val="00894205"/>
    <w:rsid w:val="00894A89"/>
    <w:rsid w:val="0089530A"/>
    <w:rsid w:val="0089741F"/>
    <w:rsid w:val="00897B16"/>
    <w:rsid w:val="008A059F"/>
    <w:rsid w:val="008A1A98"/>
    <w:rsid w:val="008A1C1D"/>
    <w:rsid w:val="008A1C47"/>
    <w:rsid w:val="008A1CF8"/>
    <w:rsid w:val="008A1E6B"/>
    <w:rsid w:val="008A1FA6"/>
    <w:rsid w:val="008A21AD"/>
    <w:rsid w:val="008A24E1"/>
    <w:rsid w:val="008A2CED"/>
    <w:rsid w:val="008A2EDC"/>
    <w:rsid w:val="008A320B"/>
    <w:rsid w:val="008A4608"/>
    <w:rsid w:val="008A52C9"/>
    <w:rsid w:val="008A53F3"/>
    <w:rsid w:val="008A5CAB"/>
    <w:rsid w:val="008A60F8"/>
    <w:rsid w:val="008A64E3"/>
    <w:rsid w:val="008A6CD2"/>
    <w:rsid w:val="008A7121"/>
    <w:rsid w:val="008B0019"/>
    <w:rsid w:val="008B002B"/>
    <w:rsid w:val="008B02D8"/>
    <w:rsid w:val="008B13DD"/>
    <w:rsid w:val="008B1402"/>
    <w:rsid w:val="008B1470"/>
    <w:rsid w:val="008B165B"/>
    <w:rsid w:val="008B2F63"/>
    <w:rsid w:val="008B35D8"/>
    <w:rsid w:val="008B3A1C"/>
    <w:rsid w:val="008B59AD"/>
    <w:rsid w:val="008B7BC4"/>
    <w:rsid w:val="008B7D5A"/>
    <w:rsid w:val="008B7EE2"/>
    <w:rsid w:val="008C055A"/>
    <w:rsid w:val="008C0A9C"/>
    <w:rsid w:val="008C1032"/>
    <w:rsid w:val="008C1349"/>
    <w:rsid w:val="008C1CC2"/>
    <w:rsid w:val="008C1E68"/>
    <w:rsid w:val="008C1EB6"/>
    <w:rsid w:val="008C239F"/>
    <w:rsid w:val="008C3096"/>
    <w:rsid w:val="008C36C8"/>
    <w:rsid w:val="008C47DE"/>
    <w:rsid w:val="008C49D2"/>
    <w:rsid w:val="008C536D"/>
    <w:rsid w:val="008C5EBC"/>
    <w:rsid w:val="008C70E9"/>
    <w:rsid w:val="008C712D"/>
    <w:rsid w:val="008D0BB7"/>
    <w:rsid w:val="008D18B0"/>
    <w:rsid w:val="008D1F94"/>
    <w:rsid w:val="008D1FEB"/>
    <w:rsid w:val="008D2316"/>
    <w:rsid w:val="008D2867"/>
    <w:rsid w:val="008D2DE5"/>
    <w:rsid w:val="008D32A3"/>
    <w:rsid w:val="008D3A30"/>
    <w:rsid w:val="008D41B7"/>
    <w:rsid w:val="008D4837"/>
    <w:rsid w:val="008D536A"/>
    <w:rsid w:val="008D5477"/>
    <w:rsid w:val="008D5542"/>
    <w:rsid w:val="008D5A40"/>
    <w:rsid w:val="008D6616"/>
    <w:rsid w:val="008D66EB"/>
    <w:rsid w:val="008D70C3"/>
    <w:rsid w:val="008D79CD"/>
    <w:rsid w:val="008E026A"/>
    <w:rsid w:val="008E03DE"/>
    <w:rsid w:val="008E10FD"/>
    <w:rsid w:val="008E1CBA"/>
    <w:rsid w:val="008E1CFD"/>
    <w:rsid w:val="008E2949"/>
    <w:rsid w:val="008E4890"/>
    <w:rsid w:val="008E5625"/>
    <w:rsid w:val="008E56F4"/>
    <w:rsid w:val="008E5DBC"/>
    <w:rsid w:val="008E6D19"/>
    <w:rsid w:val="008E6D77"/>
    <w:rsid w:val="008E6F0F"/>
    <w:rsid w:val="008E7B0E"/>
    <w:rsid w:val="008F1086"/>
    <w:rsid w:val="008F2A3E"/>
    <w:rsid w:val="008F2FC5"/>
    <w:rsid w:val="008F3657"/>
    <w:rsid w:val="008F3999"/>
    <w:rsid w:val="008F3F67"/>
    <w:rsid w:val="008F3F6B"/>
    <w:rsid w:val="008F40B6"/>
    <w:rsid w:val="008F45D8"/>
    <w:rsid w:val="008F4761"/>
    <w:rsid w:val="008F527A"/>
    <w:rsid w:val="008F577F"/>
    <w:rsid w:val="008F5FD0"/>
    <w:rsid w:val="008F644A"/>
    <w:rsid w:val="008F75FA"/>
    <w:rsid w:val="00900697"/>
    <w:rsid w:val="009007DA"/>
    <w:rsid w:val="00901125"/>
    <w:rsid w:val="00901172"/>
    <w:rsid w:val="0090197C"/>
    <w:rsid w:val="00901FA3"/>
    <w:rsid w:val="009035F3"/>
    <w:rsid w:val="00903DBB"/>
    <w:rsid w:val="00903DD2"/>
    <w:rsid w:val="00903EA0"/>
    <w:rsid w:val="0090609F"/>
    <w:rsid w:val="00906662"/>
    <w:rsid w:val="009070C0"/>
    <w:rsid w:val="0090795D"/>
    <w:rsid w:val="009101AD"/>
    <w:rsid w:val="00910BCF"/>
    <w:rsid w:val="009113C0"/>
    <w:rsid w:val="0091250E"/>
    <w:rsid w:val="00912C28"/>
    <w:rsid w:val="009155EC"/>
    <w:rsid w:val="0091599D"/>
    <w:rsid w:val="00915C4A"/>
    <w:rsid w:val="00916057"/>
    <w:rsid w:val="00916BB1"/>
    <w:rsid w:val="00917D70"/>
    <w:rsid w:val="00920856"/>
    <w:rsid w:val="00921439"/>
    <w:rsid w:val="009215E3"/>
    <w:rsid w:val="00922071"/>
    <w:rsid w:val="00923893"/>
    <w:rsid w:val="009245C3"/>
    <w:rsid w:val="00924EBB"/>
    <w:rsid w:val="009250F4"/>
    <w:rsid w:val="00926841"/>
    <w:rsid w:val="00926D27"/>
    <w:rsid w:val="009274E3"/>
    <w:rsid w:val="00927887"/>
    <w:rsid w:val="009301E9"/>
    <w:rsid w:val="00930E41"/>
    <w:rsid w:val="00930E46"/>
    <w:rsid w:val="0093176F"/>
    <w:rsid w:val="00931A56"/>
    <w:rsid w:val="00932055"/>
    <w:rsid w:val="009320A9"/>
    <w:rsid w:val="00932422"/>
    <w:rsid w:val="0093246A"/>
    <w:rsid w:val="00932E9B"/>
    <w:rsid w:val="009331D1"/>
    <w:rsid w:val="00934A26"/>
    <w:rsid w:val="00935BCD"/>
    <w:rsid w:val="009374C3"/>
    <w:rsid w:val="00941540"/>
    <w:rsid w:val="009420AE"/>
    <w:rsid w:val="009428A8"/>
    <w:rsid w:val="00943C9D"/>
    <w:rsid w:val="00944D45"/>
    <w:rsid w:val="00944E10"/>
    <w:rsid w:val="009453CC"/>
    <w:rsid w:val="00945429"/>
    <w:rsid w:val="009461F1"/>
    <w:rsid w:val="00947CA0"/>
    <w:rsid w:val="00951828"/>
    <w:rsid w:val="0095274A"/>
    <w:rsid w:val="009529E8"/>
    <w:rsid w:val="00952B83"/>
    <w:rsid w:val="00952F97"/>
    <w:rsid w:val="0095431E"/>
    <w:rsid w:val="0095449E"/>
    <w:rsid w:val="00954E2A"/>
    <w:rsid w:val="00955FAD"/>
    <w:rsid w:val="009578FF"/>
    <w:rsid w:val="00957A65"/>
    <w:rsid w:val="009603E6"/>
    <w:rsid w:val="009605E8"/>
    <w:rsid w:val="009617A3"/>
    <w:rsid w:val="00961DBC"/>
    <w:rsid w:val="00961EDF"/>
    <w:rsid w:val="00961F12"/>
    <w:rsid w:val="009628D2"/>
    <w:rsid w:val="00963EFD"/>
    <w:rsid w:val="00963FF6"/>
    <w:rsid w:val="0096429C"/>
    <w:rsid w:val="00964B29"/>
    <w:rsid w:val="00966C79"/>
    <w:rsid w:val="00966D57"/>
    <w:rsid w:val="0096727C"/>
    <w:rsid w:val="00967A54"/>
    <w:rsid w:val="00967EB8"/>
    <w:rsid w:val="00970657"/>
    <w:rsid w:val="00970FE8"/>
    <w:rsid w:val="009715E6"/>
    <w:rsid w:val="009719BB"/>
    <w:rsid w:val="00971A61"/>
    <w:rsid w:val="00972169"/>
    <w:rsid w:val="0097282D"/>
    <w:rsid w:val="00973A16"/>
    <w:rsid w:val="0097479B"/>
    <w:rsid w:val="00974983"/>
    <w:rsid w:val="009755B5"/>
    <w:rsid w:val="00975891"/>
    <w:rsid w:val="00975F07"/>
    <w:rsid w:val="009767B5"/>
    <w:rsid w:val="00976F38"/>
    <w:rsid w:val="0097709A"/>
    <w:rsid w:val="00977109"/>
    <w:rsid w:val="00977361"/>
    <w:rsid w:val="00977742"/>
    <w:rsid w:val="00977C47"/>
    <w:rsid w:val="0098022D"/>
    <w:rsid w:val="00980496"/>
    <w:rsid w:val="00980CBF"/>
    <w:rsid w:val="00981013"/>
    <w:rsid w:val="0098167C"/>
    <w:rsid w:val="009819E5"/>
    <w:rsid w:val="00981E8C"/>
    <w:rsid w:val="00982059"/>
    <w:rsid w:val="009827EB"/>
    <w:rsid w:val="0098363A"/>
    <w:rsid w:val="00983E10"/>
    <w:rsid w:val="00984284"/>
    <w:rsid w:val="00985087"/>
    <w:rsid w:val="009851E5"/>
    <w:rsid w:val="009857E7"/>
    <w:rsid w:val="00985806"/>
    <w:rsid w:val="00985B38"/>
    <w:rsid w:val="00985BA9"/>
    <w:rsid w:val="009869E9"/>
    <w:rsid w:val="00986ABA"/>
    <w:rsid w:val="00986E9D"/>
    <w:rsid w:val="009870C8"/>
    <w:rsid w:val="00987425"/>
    <w:rsid w:val="00987501"/>
    <w:rsid w:val="00987998"/>
    <w:rsid w:val="00990AA8"/>
    <w:rsid w:val="009919F4"/>
    <w:rsid w:val="00991B3F"/>
    <w:rsid w:val="00991D28"/>
    <w:rsid w:val="00991E01"/>
    <w:rsid w:val="009924AA"/>
    <w:rsid w:val="00993B03"/>
    <w:rsid w:val="009949E3"/>
    <w:rsid w:val="00994D27"/>
    <w:rsid w:val="00994F9A"/>
    <w:rsid w:val="0099550D"/>
    <w:rsid w:val="00996402"/>
    <w:rsid w:val="00996563"/>
    <w:rsid w:val="00996FAB"/>
    <w:rsid w:val="00997530"/>
    <w:rsid w:val="00997563"/>
    <w:rsid w:val="009A0DFA"/>
    <w:rsid w:val="009A2195"/>
    <w:rsid w:val="009A21C6"/>
    <w:rsid w:val="009A2CFA"/>
    <w:rsid w:val="009A2FB3"/>
    <w:rsid w:val="009A4C0D"/>
    <w:rsid w:val="009A4CC7"/>
    <w:rsid w:val="009A5BE4"/>
    <w:rsid w:val="009A5D1F"/>
    <w:rsid w:val="009A68F0"/>
    <w:rsid w:val="009A7E31"/>
    <w:rsid w:val="009B0B20"/>
    <w:rsid w:val="009B1B40"/>
    <w:rsid w:val="009B2D51"/>
    <w:rsid w:val="009B2E1C"/>
    <w:rsid w:val="009B37F4"/>
    <w:rsid w:val="009B4162"/>
    <w:rsid w:val="009B4F37"/>
    <w:rsid w:val="009B5429"/>
    <w:rsid w:val="009B59A1"/>
    <w:rsid w:val="009B5EAC"/>
    <w:rsid w:val="009B5F06"/>
    <w:rsid w:val="009B71EE"/>
    <w:rsid w:val="009B798A"/>
    <w:rsid w:val="009B7C83"/>
    <w:rsid w:val="009C1193"/>
    <w:rsid w:val="009C1935"/>
    <w:rsid w:val="009C25F9"/>
    <w:rsid w:val="009C2E06"/>
    <w:rsid w:val="009C31CE"/>
    <w:rsid w:val="009C34BA"/>
    <w:rsid w:val="009C3BD5"/>
    <w:rsid w:val="009C3D4F"/>
    <w:rsid w:val="009C495C"/>
    <w:rsid w:val="009C5276"/>
    <w:rsid w:val="009C6344"/>
    <w:rsid w:val="009C6562"/>
    <w:rsid w:val="009C7559"/>
    <w:rsid w:val="009D005C"/>
    <w:rsid w:val="009D0E9C"/>
    <w:rsid w:val="009D1627"/>
    <w:rsid w:val="009D1FCD"/>
    <w:rsid w:val="009D2334"/>
    <w:rsid w:val="009D2D3F"/>
    <w:rsid w:val="009D3316"/>
    <w:rsid w:val="009D343A"/>
    <w:rsid w:val="009D43AF"/>
    <w:rsid w:val="009D46E5"/>
    <w:rsid w:val="009D6414"/>
    <w:rsid w:val="009D68E0"/>
    <w:rsid w:val="009D6F0E"/>
    <w:rsid w:val="009D70E4"/>
    <w:rsid w:val="009D7240"/>
    <w:rsid w:val="009D7898"/>
    <w:rsid w:val="009D7C45"/>
    <w:rsid w:val="009E1FDB"/>
    <w:rsid w:val="009E2415"/>
    <w:rsid w:val="009E2B1E"/>
    <w:rsid w:val="009E35F6"/>
    <w:rsid w:val="009E41FD"/>
    <w:rsid w:val="009E4A41"/>
    <w:rsid w:val="009E5B63"/>
    <w:rsid w:val="009E737E"/>
    <w:rsid w:val="009E77D4"/>
    <w:rsid w:val="009F02EB"/>
    <w:rsid w:val="009F15F6"/>
    <w:rsid w:val="009F19B3"/>
    <w:rsid w:val="009F3842"/>
    <w:rsid w:val="009F48A3"/>
    <w:rsid w:val="009F506C"/>
    <w:rsid w:val="009F5312"/>
    <w:rsid w:val="009F54F9"/>
    <w:rsid w:val="009F6882"/>
    <w:rsid w:val="009F6BB1"/>
    <w:rsid w:val="009F7141"/>
    <w:rsid w:val="009F792D"/>
    <w:rsid w:val="009F7DA5"/>
    <w:rsid w:val="009F7FE5"/>
    <w:rsid w:val="00A013FE"/>
    <w:rsid w:val="00A01638"/>
    <w:rsid w:val="00A020F1"/>
    <w:rsid w:val="00A02A77"/>
    <w:rsid w:val="00A03032"/>
    <w:rsid w:val="00A0334E"/>
    <w:rsid w:val="00A03D04"/>
    <w:rsid w:val="00A0459A"/>
    <w:rsid w:val="00A054FB"/>
    <w:rsid w:val="00A05538"/>
    <w:rsid w:val="00A05691"/>
    <w:rsid w:val="00A05CEA"/>
    <w:rsid w:val="00A05FA8"/>
    <w:rsid w:val="00A07460"/>
    <w:rsid w:val="00A11851"/>
    <w:rsid w:val="00A11918"/>
    <w:rsid w:val="00A127C1"/>
    <w:rsid w:val="00A13873"/>
    <w:rsid w:val="00A1437D"/>
    <w:rsid w:val="00A15416"/>
    <w:rsid w:val="00A16566"/>
    <w:rsid w:val="00A20550"/>
    <w:rsid w:val="00A20E7D"/>
    <w:rsid w:val="00A21871"/>
    <w:rsid w:val="00A21979"/>
    <w:rsid w:val="00A223CD"/>
    <w:rsid w:val="00A22AE9"/>
    <w:rsid w:val="00A22ED6"/>
    <w:rsid w:val="00A231CA"/>
    <w:rsid w:val="00A2339E"/>
    <w:rsid w:val="00A23448"/>
    <w:rsid w:val="00A23744"/>
    <w:rsid w:val="00A23F5F"/>
    <w:rsid w:val="00A252E9"/>
    <w:rsid w:val="00A25875"/>
    <w:rsid w:val="00A2592B"/>
    <w:rsid w:val="00A25C79"/>
    <w:rsid w:val="00A26384"/>
    <w:rsid w:val="00A268A1"/>
    <w:rsid w:val="00A27C2B"/>
    <w:rsid w:val="00A30AF7"/>
    <w:rsid w:val="00A311DB"/>
    <w:rsid w:val="00A3359C"/>
    <w:rsid w:val="00A3372A"/>
    <w:rsid w:val="00A33E2B"/>
    <w:rsid w:val="00A342D9"/>
    <w:rsid w:val="00A34815"/>
    <w:rsid w:val="00A34EEF"/>
    <w:rsid w:val="00A35225"/>
    <w:rsid w:val="00A355B9"/>
    <w:rsid w:val="00A36BE6"/>
    <w:rsid w:val="00A36C8E"/>
    <w:rsid w:val="00A36EFD"/>
    <w:rsid w:val="00A3748D"/>
    <w:rsid w:val="00A401FC"/>
    <w:rsid w:val="00A403BF"/>
    <w:rsid w:val="00A407B6"/>
    <w:rsid w:val="00A40C8E"/>
    <w:rsid w:val="00A420B4"/>
    <w:rsid w:val="00A42381"/>
    <w:rsid w:val="00A427A9"/>
    <w:rsid w:val="00A42FD4"/>
    <w:rsid w:val="00A43D31"/>
    <w:rsid w:val="00A440C2"/>
    <w:rsid w:val="00A44FCD"/>
    <w:rsid w:val="00A4551C"/>
    <w:rsid w:val="00A45954"/>
    <w:rsid w:val="00A4671A"/>
    <w:rsid w:val="00A46761"/>
    <w:rsid w:val="00A46764"/>
    <w:rsid w:val="00A4712F"/>
    <w:rsid w:val="00A47942"/>
    <w:rsid w:val="00A509E9"/>
    <w:rsid w:val="00A523C2"/>
    <w:rsid w:val="00A52CDA"/>
    <w:rsid w:val="00A53119"/>
    <w:rsid w:val="00A53506"/>
    <w:rsid w:val="00A5388E"/>
    <w:rsid w:val="00A5482E"/>
    <w:rsid w:val="00A54D17"/>
    <w:rsid w:val="00A55D81"/>
    <w:rsid w:val="00A568DA"/>
    <w:rsid w:val="00A57232"/>
    <w:rsid w:val="00A57F18"/>
    <w:rsid w:val="00A6021A"/>
    <w:rsid w:val="00A60395"/>
    <w:rsid w:val="00A609F4"/>
    <w:rsid w:val="00A61AC0"/>
    <w:rsid w:val="00A6272D"/>
    <w:rsid w:val="00A631D0"/>
    <w:rsid w:val="00A63245"/>
    <w:rsid w:val="00A6352F"/>
    <w:rsid w:val="00A642D8"/>
    <w:rsid w:val="00A6467A"/>
    <w:rsid w:val="00A64792"/>
    <w:rsid w:val="00A64BF3"/>
    <w:rsid w:val="00A64D22"/>
    <w:rsid w:val="00A652DA"/>
    <w:rsid w:val="00A65525"/>
    <w:rsid w:val="00A657D4"/>
    <w:rsid w:val="00A65B8F"/>
    <w:rsid w:val="00A6724E"/>
    <w:rsid w:val="00A67C48"/>
    <w:rsid w:val="00A70649"/>
    <w:rsid w:val="00A706EB"/>
    <w:rsid w:val="00A70C4A"/>
    <w:rsid w:val="00A70DCD"/>
    <w:rsid w:val="00A710B3"/>
    <w:rsid w:val="00A712F6"/>
    <w:rsid w:val="00A7184A"/>
    <w:rsid w:val="00A71A36"/>
    <w:rsid w:val="00A7286B"/>
    <w:rsid w:val="00A73F83"/>
    <w:rsid w:val="00A74094"/>
    <w:rsid w:val="00A74382"/>
    <w:rsid w:val="00A7508B"/>
    <w:rsid w:val="00A750FA"/>
    <w:rsid w:val="00A7562C"/>
    <w:rsid w:val="00A75CAD"/>
    <w:rsid w:val="00A7645F"/>
    <w:rsid w:val="00A8026D"/>
    <w:rsid w:val="00A813B3"/>
    <w:rsid w:val="00A81D9A"/>
    <w:rsid w:val="00A81F0D"/>
    <w:rsid w:val="00A822C8"/>
    <w:rsid w:val="00A8274F"/>
    <w:rsid w:val="00A82DFE"/>
    <w:rsid w:val="00A82E89"/>
    <w:rsid w:val="00A82F80"/>
    <w:rsid w:val="00A831EC"/>
    <w:rsid w:val="00A837E2"/>
    <w:rsid w:val="00A839E1"/>
    <w:rsid w:val="00A84C14"/>
    <w:rsid w:val="00A85749"/>
    <w:rsid w:val="00A86226"/>
    <w:rsid w:val="00A86719"/>
    <w:rsid w:val="00A86E30"/>
    <w:rsid w:val="00A86EE9"/>
    <w:rsid w:val="00A86F72"/>
    <w:rsid w:val="00A875B4"/>
    <w:rsid w:val="00A906C1"/>
    <w:rsid w:val="00A90CA0"/>
    <w:rsid w:val="00A90D46"/>
    <w:rsid w:val="00A90FAB"/>
    <w:rsid w:val="00A9100E"/>
    <w:rsid w:val="00A912F2"/>
    <w:rsid w:val="00A920B7"/>
    <w:rsid w:val="00A928C4"/>
    <w:rsid w:val="00A92F09"/>
    <w:rsid w:val="00A9454E"/>
    <w:rsid w:val="00A94F14"/>
    <w:rsid w:val="00A952C6"/>
    <w:rsid w:val="00A95781"/>
    <w:rsid w:val="00A95ED3"/>
    <w:rsid w:val="00A960E0"/>
    <w:rsid w:val="00A96238"/>
    <w:rsid w:val="00A9669A"/>
    <w:rsid w:val="00A967F9"/>
    <w:rsid w:val="00A96B1E"/>
    <w:rsid w:val="00A96E07"/>
    <w:rsid w:val="00A971BC"/>
    <w:rsid w:val="00A9754E"/>
    <w:rsid w:val="00A978FE"/>
    <w:rsid w:val="00AA02DA"/>
    <w:rsid w:val="00AA1813"/>
    <w:rsid w:val="00AA1A61"/>
    <w:rsid w:val="00AA1FE9"/>
    <w:rsid w:val="00AA210D"/>
    <w:rsid w:val="00AA303D"/>
    <w:rsid w:val="00AA3D0D"/>
    <w:rsid w:val="00AA4235"/>
    <w:rsid w:val="00AA5267"/>
    <w:rsid w:val="00AA5317"/>
    <w:rsid w:val="00AA5606"/>
    <w:rsid w:val="00AA5691"/>
    <w:rsid w:val="00AA64E0"/>
    <w:rsid w:val="00AA6A90"/>
    <w:rsid w:val="00AA6C89"/>
    <w:rsid w:val="00AA7997"/>
    <w:rsid w:val="00AB0732"/>
    <w:rsid w:val="00AB0752"/>
    <w:rsid w:val="00AB171E"/>
    <w:rsid w:val="00AB18F9"/>
    <w:rsid w:val="00AB221F"/>
    <w:rsid w:val="00AB2286"/>
    <w:rsid w:val="00AB2476"/>
    <w:rsid w:val="00AB2D11"/>
    <w:rsid w:val="00AB3286"/>
    <w:rsid w:val="00AB4B22"/>
    <w:rsid w:val="00AB4E7A"/>
    <w:rsid w:val="00AB564F"/>
    <w:rsid w:val="00AB5F56"/>
    <w:rsid w:val="00AB65FA"/>
    <w:rsid w:val="00AB65FD"/>
    <w:rsid w:val="00AB68AC"/>
    <w:rsid w:val="00AB760A"/>
    <w:rsid w:val="00AB7F19"/>
    <w:rsid w:val="00AC0919"/>
    <w:rsid w:val="00AC12E0"/>
    <w:rsid w:val="00AC1B22"/>
    <w:rsid w:val="00AC22D2"/>
    <w:rsid w:val="00AC2589"/>
    <w:rsid w:val="00AC3270"/>
    <w:rsid w:val="00AC3813"/>
    <w:rsid w:val="00AC45D7"/>
    <w:rsid w:val="00AC4A24"/>
    <w:rsid w:val="00AC53ED"/>
    <w:rsid w:val="00AC7D79"/>
    <w:rsid w:val="00AD0359"/>
    <w:rsid w:val="00AD1335"/>
    <w:rsid w:val="00AD1BE4"/>
    <w:rsid w:val="00AD2D78"/>
    <w:rsid w:val="00AD2E3E"/>
    <w:rsid w:val="00AD2FEE"/>
    <w:rsid w:val="00AD45EA"/>
    <w:rsid w:val="00AD4CC3"/>
    <w:rsid w:val="00AD4DEF"/>
    <w:rsid w:val="00AD5AE3"/>
    <w:rsid w:val="00AD60F5"/>
    <w:rsid w:val="00AD6948"/>
    <w:rsid w:val="00AD6C10"/>
    <w:rsid w:val="00AD74BF"/>
    <w:rsid w:val="00AD7D30"/>
    <w:rsid w:val="00AE02A7"/>
    <w:rsid w:val="00AE04EA"/>
    <w:rsid w:val="00AE06CF"/>
    <w:rsid w:val="00AE0BE7"/>
    <w:rsid w:val="00AE1496"/>
    <w:rsid w:val="00AE1646"/>
    <w:rsid w:val="00AE2056"/>
    <w:rsid w:val="00AE29CA"/>
    <w:rsid w:val="00AE2F86"/>
    <w:rsid w:val="00AE309F"/>
    <w:rsid w:val="00AE420B"/>
    <w:rsid w:val="00AE4D94"/>
    <w:rsid w:val="00AE4F0E"/>
    <w:rsid w:val="00AE5023"/>
    <w:rsid w:val="00AE5BF2"/>
    <w:rsid w:val="00AE6734"/>
    <w:rsid w:val="00AE7041"/>
    <w:rsid w:val="00AE7205"/>
    <w:rsid w:val="00AE79C8"/>
    <w:rsid w:val="00AE7A96"/>
    <w:rsid w:val="00AE7CD4"/>
    <w:rsid w:val="00AF1985"/>
    <w:rsid w:val="00AF203C"/>
    <w:rsid w:val="00AF31D1"/>
    <w:rsid w:val="00AF3442"/>
    <w:rsid w:val="00AF36FD"/>
    <w:rsid w:val="00AF3BE3"/>
    <w:rsid w:val="00AF3E8E"/>
    <w:rsid w:val="00AF3F69"/>
    <w:rsid w:val="00AF57E5"/>
    <w:rsid w:val="00AF6333"/>
    <w:rsid w:val="00AF6F70"/>
    <w:rsid w:val="00AF7062"/>
    <w:rsid w:val="00AF718F"/>
    <w:rsid w:val="00B00B92"/>
    <w:rsid w:val="00B017EA"/>
    <w:rsid w:val="00B02A3D"/>
    <w:rsid w:val="00B036CB"/>
    <w:rsid w:val="00B0395A"/>
    <w:rsid w:val="00B03FE7"/>
    <w:rsid w:val="00B046A8"/>
    <w:rsid w:val="00B0540A"/>
    <w:rsid w:val="00B059FC"/>
    <w:rsid w:val="00B0689F"/>
    <w:rsid w:val="00B068E7"/>
    <w:rsid w:val="00B070CC"/>
    <w:rsid w:val="00B10BB9"/>
    <w:rsid w:val="00B10D11"/>
    <w:rsid w:val="00B116C0"/>
    <w:rsid w:val="00B117EF"/>
    <w:rsid w:val="00B1192B"/>
    <w:rsid w:val="00B12207"/>
    <w:rsid w:val="00B12641"/>
    <w:rsid w:val="00B139F6"/>
    <w:rsid w:val="00B141CE"/>
    <w:rsid w:val="00B14B74"/>
    <w:rsid w:val="00B14E94"/>
    <w:rsid w:val="00B15CCF"/>
    <w:rsid w:val="00B16C97"/>
    <w:rsid w:val="00B16F25"/>
    <w:rsid w:val="00B2044D"/>
    <w:rsid w:val="00B204D8"/>
    <w:rsid w:val="00B205C2"/>
    <w:rsid w:val="00B213CA"/>
    <w:rsid w:val="00B2180E"/>
    <w:rsid w:val="00B225B7"/>
    <w:rsid w:val="00B239A1"/>
    <w:rsid w:val="00B24D0A"/>
    <w:rsid w:val="00B25982"/>
    <w:rsid w:val="00B27082"/>
    <w:rsid w:val="00B27F2E"/>
    <w:rsid w:val="00B3006B"/>
    <w:rsid w:val="00B3149A"/>
    <w:rsid w:val="00B319DF"/>
    <w:rsid w:val="00B31BD4"/>
    <w:rsid w:val="00B31EF9"/>
    <w:rsid w:val="00B32918"/>
    <w:rsid w:val="00B33A6D"/>
    <w:rsid w:val="00B340FF"/>
    <w:rsid w:val="00B35275"/>
    <w:rsid w:val="00B3549E"/>
    <w:rsid w:val="00B35F68"/>
    <w:rsid w:val="00B36B77"/>
    <w:rsid w:val="00B36C38"/>
    <w:rsid w:val="00B36E16"/>
    <w:rsid w:val="00B36EDA"/>
    <w:rsid w:val="00B37735"/>
    <w:rsid w:val="00B40AB0"/>
    <w:rsid w:val="00B41170"/>
    <w:rsid w:val="00B42199"/>
    <w:rsid w:val="00B42658"/>
    <w:rsid w:val="00B42762"/>
    <w:rsid w:val="00B42FDE"/>
    <w:rsid w:val="00B43E8A"/>
    <w:rsid w:val="00B44332"/>
    <w:rsid w:val="00B44481"/>
    <w:rsid w:val="00B4551F"/>
    <w:rsid w:val="00B45E30"/>
    <w:rsid w:val="00B46BA5"/>
    <w:rsid w:val="00B50010"/>
    <w:rsid w:val="00B5071C"/>
    <w:rsid w:val="00B50DEB"/>
    <w:rsid w:val="00B510B3"/>
    <w:rsid w:val="00B51DFC"/>
    <w:rsid w:val="00B54F42"/>
    <w:rsid w:val="00B555F7"/>
    <w:rsid w:val="00B564E6"/>
    <w:rsid w:val="00B5650D"/>
    <w:rsid w:val="00B5771B"/>
    <w:rsid w:val="00B57CB4"/>
    <w:rsid w:val="00B57CEB"/>
    <w:rsid w:val="00B57DD5"/>
    <w:rsid w:val="00B6029E"/>
    <w:rsid w:val="00B6110B"/>
    <w:rsid w:val="00B6145C"/>
    <w:rsid w:val="00B61636"/>
    <w:rsid w:val="00B62CC9"/>
    <w:rsid w:val="00B65D4E"/>
    <w:rsid w:val="00B65F58"/>
    <w:rsid w:val="00B66126"/>
    <w:rsid w:val="00B6782E"/>
    <w:rsid w:val="00B6794F"/>
    <w:rsid w:val="00B67B48"/>
    <w:rsid w:val="00B67CB2"/>
    <w:rsid w:val="00B702D5"/>
    <w:rsid w:val="00B7087A"/>
    <w:rsid w:val="00B70A29"/>
    <w:rsid w:val="00B70C4F"/>
    <w:rsid w:val="00B718CD"/>
    <w:rsid w:val="00B71B40"/>
    <w:rsid w:val="00B71EF3"/>
    <w:rsid w:val="00B71F7C"/>
    <w:rsid w:val="00B7237B"/>
    <w:rsid w:val="00B727BD"/>
    <w:rsid w:val="00B72EFD"/>
    <w:rsid w:val="00B73B9C"/>
    <w:rsid w:val="00B74A76"/>
    <w:rsid w:val="00B74BAC"/>
    <w:rsid w:val="00B7547E"/>
    <w:rsid w:val="00B75C3C"/>
    <w:rsid w:val="00B77C8E"/>
    <w:rsid w:val="00B77FB9"/>
    <w:rsid w:val="00B77FBF"/>
    <w:rsid w:val="00B8008B"/>
    <w:rsid w:val="00B808B0"/>
    <w:rsid w:val="00B8321E"/>
    <w:rsid w:val="00B83D14"/>
    <w:rsid w:val="00B84932"/>
    <w:rsid w:val="00B851DA"/>
    <w:rsid w:val="00B859EF"/>
    <w:rsid w:val="00B86D40"/>
    <w:rsid w:val="00B90004"/>
    <w:rsid w:val="00B905BC"/>
    <w:rsid w:val="00B913D6"/>
    <w:rsid w:val="00B91C48"/>
    <w:rsid w:val="00B91C83"/>
    <w:rsid w:val="00B91E81"/>
    <w:rsid w:val="00B92EA0"/>
    <w:rsid w:val="00B93457"/>
    <w:rsid w:val="00B93679"/>
    <w:rsid w:val="00B937CC"/>
    <w:rsid w:val="00B93A33"/>
    <w:rsid w:val="00B940A5"/>
    <w:rsid w:val="00B9649F"/>
    <w:rsid w:val="00B96572"/>
    <w:rsid w:val="00B975F7"/>
    <w:rsid w:val="00B9779C"/>
    <w:rsid w:val="00BA0836"/>
    <w:rsid w:val="00BA0EC5"/>
    <w:rsid w:val="00BA0F13"/>
    <w:rsid w:val="00BA1144"/>
    <w:rsid w:val="00BA1687"/>
    <w:rsid w:val="00BA217A"/>
    <w:rsid w:val="00BA2658"/>
    <w:rsid w:val="00BA3355"/>
    <w:rsid w:val="00BA3735"/>
    <w:rsid w:val="00BA3871"/>
    <w:rsid w:val="00BA4249"/>
    <w:rsid w:val="00BA56BD"/>
    <w:rsid w:val="00BA6095"/>
    <w:rsid w:val="00BA6982"/>
    <w:rsid w:val="00BA6D77"/>
    <w:rsid w:val="00BA70A9"/>
    <w:rsid w:val="00BA7EF3"/>
    <w:rsid w:val="00BB04CB"/>
    <w:rsid w:val="00BB0BB9"/>
    <w:rsid w:val="00BB15CF"/>
    <w:rsid w:val="00BB1D47"/>
    <w:rsid w:val="00BB1E11"/>
    <w:rsid w:val="00BB2166"/>
    <w:rsid w:val="00BB353E"/>
    <w:rsid w:val="00BB42FA"/>
    <w:rsid w:val="00BB47A5"/>
    <w:rsid w:val="00BB48BA"/>
    <w:rsid w:val="00BB4A25"/>
    <w:rsid w:val="00BB5081"/>
    <w:rsid w:val="00BB5410"/>
    <w:rsid w:val="00BB6541"/>
    <w:rsid w:val="00BB6C36"/>
    <w:rsid w:val="00BB745E"/>
    <w:rsid w:val="00BB74E3"/>
    <w:rsid w:val="00BC0029"/>
    <w:rsid w:val="00BC0050"/>
    <w:rsid w:val="00BC20DF"/>
    <w:rsid w:val="00BC28B5"/>
    <w:rsid w:val="00BC3AF6"/>
    <w:rsid w:val="00BC44FE"/>
    <w:rsid w:val="00BC53FF"/>
    <w:rsid w:val="00BC5818"/>
    <w:rsid w:val="00BC6323"/>
    <w:rsid w:val="00BC697A"/>
    <w:rsid w:val="00BC73CE"/>
    <w:rsid w:val="00BC74EF"/>
    <w:rsid w:val="00BD19F8"/>
    <w:rsid w:val="00BD22FB"/>
    <w:rsid w:val="00BD490E"/>
    <w:rsid w:val="00BD4B3E"/>
    <w:rsid w:val="00BD6136"/>
    <w:rsid w:val="00BD64D3"/>
    <w:rsid w:val="00BD699F"/>
    <w:rsid w:val="00BD7370"/>
    <w:rsid w:val="00BD7499"/>
    <w:rsid w:val="00BD75CA"/>
    <w:rsid w:val="00BE0DA6"/>
    <w:rsid w:val="00BE0E88"/>
    <w:rsid w:val="00BE154E"/>
    <w:rsid w:val="00BE1D8D"/>
    <w:rsid w:val="00BE26B2"/>
    <w:rsid w:val="00BE313F"/>
    <w:rsid w:val="00BE32CA"/>
    <w:rsid w:val="00BE340D"/>
    <w:rsid w:val="00BE4125"/>
    <w:rsid w:val="00BE42E4"/>
    <w:rsid w:val="00BE475D"/>
    <w:rsid w:val="00BE5144"/>
    <w:rsid w:val="00BE5E0E"/>
    <w:rsid w:val="00BE60FB"/>
    <w:rsid w:val="00BE6A80"/>
    <w:rsid w:val="00BE6BF6"/>
    <w:rsid w:val="00BE753C"/>
    <w:rsid w:val="00BE7780"/>
    <w:rsid w:val="00BE7BB2"/>
    <w:rsid w:val="00BE7E54"/>
    <w:rsid w:val="00BF0ACF"/>
    <w:rsid w:val="00BF0F8F"/>
    <w:rsid w:val="00BF1217"/>
    <w:rsid w:val="00BF162F"/>
    <w:rsid w:val="00BF1C1F"/>
    <w:rsid w:val="00BF1DB3"/>
    <w:rsid w:val="00BF2980"/>
    <w:rsid w:val="00BF2D54"/>
    <w:rsid w:val="00BF47C7"/>
    <w:rsid w:val="00BF4B54"/>
    <w:rsid w:val="00BF586A"/>
    <w:rsid w:val="00BF5D4C"/>
    <w:rsid w:val="00BF6D8B"/>
    <w:rsid w:val="00BF70F1"/>
    <w:rsid w:val="00BF7221"/>
    <w:rsid w:val="00BF7BB0"/>
    <w:rsid w:val="00C00B26"/>
    <w:rsid w:val="00C012C8"/>
    <w:rsid w:val="00C026D7"/>
    <w:rsid w:val="00C0375F"/>
    <w:rsid w:val="00C04554"/>
    <w:rsid w:val="00C050AF"/>
    <w:rsid w:val="00C05478"/>
    <w:rsid w:val="00C0691B"/>
    <w:rsid w:val="00C06C0C"/>
    <w:rsid w:val="00C06CDF"/>
    <w:rsid w:val="00C07945"/>
    <w:rsid w:val="00C079E0"/>
    <w:rsid w:val="00C10E4A"/>
    <w:rsid w:val="00C1140A"/>
    <w:rsid w:val="00C11524"/>
    <w:rsid w:val="00C132BC"/>
    <w:rsid w:val="00C13C61"/>
    <w:rsid w:val="00C15170"/>
    <w:rsid w:val="00C15942"/>
    <w:rsid w:val="00C1641F"/>
    <w:rsid w:val="00C16740"/>
    <w:rsid w:val="00C16DED"/>
    <w:rsid w:val="00C174F0"/>
    <w:rsid w:val="00C178F3"/>
    <w:rsid w:val="00C20540"/>
    <w:rsid w:val="00C2138B"/>
    <w:rsid w:val="00C21FF5"/>
    <w:rsid w:val="00C22294"/>
    <w:rsid w:val="00C22CF6"/>
    <w:rsid w:val="00C2396C"/>
    <w:rsid w:val="00C23CBC"/>
    <w:rsid w:val="00C26171"/>
    <w:rsid w:val="00C2752B"/>
    <w:rsid w:val="00C27859"/>
    <w:rsid w:val="00C27B61"/>
    <w:rsid w:val="00C30093"/>
    <w:rsid w:val="00C3067D"/>
    <w:rsid w:val="00C30D04"/>
    <w:rsid w:val="00C31110"/>
    <w:rsid w:val="00C317CD"/>
    <w:rsid w:val="00C31DCA"/>
    <w:rsid w:val="00C32FCE"/>
    <w:rsid w:val="00C32FEF"/>
    <w:rsid w:val="00C33167"/>
    <w:rsid w:val="00C33874"/>
    <w:rsid w:val="00C33AC8"/>
    <w:rsid w:val="00C35001"/>
    <w:rsid w:val="00C36E8B"/>
    <w:rsid w:val="00C36F8A"/>
    <w:rsid w:val="00C370EC"/>
    <w:rsid w:val="00C40D16"/>
    <w:rsid w:val="00C41ACC"/>
    <w:rsid w:val="00C41B8A"/>
    <w:rsid w:val="00C41EC0"/>
    <w:rsid w:val="00C423C9"/>
    <w:rsid w:val="00C4464E"/>
    <w:rsid w:val="00C44727"/>
    <w:rsid w:val="00C45845"/>
    <w:rsid w:val="00C4645C"/>
    <w:rsid w:val="00C4658C"/>
    <w:rsid w:val="00C471A9"/>
    <w:rsid w:val="00C47589"/>
    <w:rsid w:val="00C47F96"/>
    <w:rsid w:val="00C504C9"/>
    <w:rsid w:val="00C508C7"/>
    <w:rsid w:val="00C50991"/>
    <w:rsid w:val="00C50B69"/>
    <w:rsid w:val="00C512CC"/>
    <w:rsid w:val="00C51FBA"/>
    <w:rsid w:val="00C52CA7"/>
    <w:rsid w:val="00C52FDD"/>
    <w:rsid w:val="00C531E6"/>
    <w:rsid w:val="00C5337E"/>
    <w:rsid w:val="00C53D84"/>
    <w:rsid w:val="00C540CC"/>
    <w:rsid w:val="00C540EE"/>
    <w:rsid w:val="00C54129"/>
    <w:rsid w:val="00C544E8"/>
    <w:rsid w:val="00C55540"/>
    <w:rsid w:val="00C56B13"/>
    <w:rsid w:val="00C56BE7"/>
    <w:rsid w:val="00C577C6"/>
    <w:rsid w:val="00C611D3"/>
    <w:rsid w:val="00C622BE"/>
    <w:rsid w:val="00C625B6"/>
    <w:rsid w:val="00C627BF"/>
    <w:rsid w:val="00C62ABE"/>
    <w:rsid w:val="00C64879"/>
    <w:rsid w:val="00C65345"/>
    <w:rsid w:val="00C65632"/>
    <w:rsid w:val="00C662D5"/>
    <w:rsid w:val="00C66362"/>
    <w:rsid w:val="00C666AA"/>
    <w:rsid w:val="00C66BA2"/>
    <w:rsid w:val="00C66E64"/>
    <w:rsid w:val="00C67F57"/>
    <w:rsid w:val="00C70A7A"/>
    <w:rsid w:val="00C72078"/>
    <w:rsid w:val="00C72A48"/>
    <w:rsid w:val="00C73034"/>
    <w:rsid w:val="00C73134"/>
    <w:rsid w:val="00C73723"/>
    <w:rsid w:val="00C73BCC"/>
    <w:rsid w:val="00C73F4B"/>
    <w:rsid w:val="00C74261"/>
    <w:rsid w:val="00C74EC0"/>
    <w:rsid w:val="00C754BC"/>
    <w:rsid w:val="00C76092"/>
    <w:rsid w:val="00C760CE"/>
    <w:rsid w:val="00C760E7"/>
    <w:rsid w:val="00C76DC6"/>
    <w:rsid w:val="00C7707A"/>
    <w:rsid w:val="00C77EC8"/>
    <w:rsid w:val="00C800B1"/>
    <w:rsid w:val="00C8088A"/>
    <w:rsid w:val="00C80F31"/>
    <w:rsid w:val="00C81196"/>
    <w:rsid w:val="00C829C8"/>
    <w:rsid w:val="00C82E18"/>
    <w:rsid w:val="00C856A4"/>
    <w:rsid w:val="00C85905"/>
    <w:rsid w:val="00C85ADB"/>
    <w:rsid w:val="00C86851"/>
    <w:rsid w:val="00C87075"/>
    <w:rsid w:val="00C8777F"/>
    <w:rsid w:val="00C87DC8"/>
    <w:rsid w:val="00C87F54"/>
    <w:rsid w:val="00C90B84"/>
    <w:rsid w:val="00C9200F"/>
    <w:rsid w:val="00C925A4"/>
    <w:rsid w:val="00C92655"/>
    <w:rsid w:val="00C92D91"/>
    <w:rsid w:val="00C92F05"/>
    <w:rsid w:val="00C937DA"/>
    <w:rsid w:val="00C93B90"/>
    <w:rsid w:val="00C944EA"/>
    <w:rsid w:val="00C946DB"/>
    <w:rsid w:val="00C9517D"/>
    <w:rsid w:val="00C95E21"/>
    <w:rsid w:val="00C96AFE"/>
    <w:rsid w:val="00C97A07"/>
    <w:rsid w:val="00CA01AE"/>
    <w:rsid w:val="00CA085C"/>
    <w:rsid w:val="00CA10CC"/>
    <w:rsid w:val="00CA12F6"/>
    <w:rsid w:val="00CA189F"/>
    <w:rsid w:val="00CA1AED"/>
    <w:rsid w:val="00CA1B0A"/>
    <w:rsid w:val="00CA209C"/>
    <w:rsid w:val="00CA20EA"/>
    <w:rsid w:val="00CA226F"/>
    <w:rsid w:val="00CA2BDE"/>
    <w:rsid w:val="00CA2C8A"/>
    <w:rsid w:val="00CA2D47"/>
    <w:rsid w:val="00CA3AEB"/>
    <w:rsid w:val="00CA3EBE"/>
    <w:rsid w:val="00CA4778"/>
    <w:rsid w:val="00CA4DD7"/>
    <w:rsid w:val="00CA53DD"/>
    <w:rsid w:val="00CA5655"/>
    <w:rsid w:val="00CA595B"/>
    <w:rsid w:val="00CA5ECF"/>
    <w:rsid w:val="00CA6200"/>
    <w:rsid w:val="00CA633F"/>
    <w:rsid w:val="00CA7A8B"/>
    <w:rsid w:val="00CA7A9A"/>
    <w:rsid w:val="00CA7D24"/>
    <w:rsid w:val="00CA7EB2"/>
    <w:rsid w:val="00CB0292"/>
    <w:rsid w:val="00CB03D5"/>
    <w:rsid w:val="00CB0A9C"/>
    <w:rsid w:val="00CB0F54"/>
    <w:rsid w:val="00CB1844"/>
    <w:rsid w:val="00CB2C06"/>
    <w:rsid w:val="00CB2DF8"/>
    <w:rsid w:val="00CB3138"/>
    <w:rsid w:val="00CB3B2C"/>
    <w:rsid w:val="00CB42B6"/>
    <w:rsid w:val="00CB4809"/>
    <w:rsid w:val="00CB5528"/>
    <w:rsid w:val="00CB571C"/>
    <w:rsid w:val="00CB6E3B"/>
    <w:rsid w:val="00CB7315"/>
    <w:rsid w:val="00CB75BD"/>
    <w:rsid w:val="00CB7FA6"/>
    <w:rsid w:val="00CC02DB"/>
    <w:rsid w:val="00CC045D"/>
    <w:rsid w:val="00CC0CA8"/>
    <w:rsid w:val="00CC14B7"/>
    <w:rsid w:val="00CC1AD7"/>
    <w:rsid w:val="00CC5596"/>
    <w:rsid w:val="00CC6B48"/>
    <w:rsid w:val="00CC70B4"/>
    <w:rsid w:val="00CD0529"/>
    <w:rsid w:val="00CD07DD"/>
    <w:rsid w:val="00CD3F0A"/>
    <w:rsid w:val="00CD3F32"/>
    <w:rsid w:val="00CD428D"/>
    <w:rsid w:val="00CD5AD4"/>
    <w:rsid w:val="00CD5E23"/>
    <w:rsid w:val="00CD66BF"/>
    <w:rsid w:val="00CD68D8"/>
    <w:rsid w:val="00CD6C01"/>
    <w:rsid w:val="00CD6CC8"/>
    <w:rsid w:val="00CD6DBB"/>
    <w:rsid w:val="00CD6F40"/>
    <w:rsid w:val="00CD70B2"/>
    <w:rsid w:val="00CD73C9"/>
    <w:rsid w:val="00CD7560"/>
    <w:rsid w:val="00CE01AB"/>
    <w:rsid w:val="00CE03C5"/>
    <w:rsid w:val="00CE0583"/>
    <w:rsid w:val="00CE0F58"/>
    <w:rsid w:val="00CE11E0"/>
    <w:rsid w:val="00CE27ED"/>
    <w:rsid w:val="00CE2A2C"/>
    <w:rsid w:val="00CE35D3"/>
    <w:rsid w:val="00CE38AE"/>
    <w:rsid w:val="00CE3B60"/>
    <w:rsid w:val="00CE402F"/>
    <w:rsid w:val="00CE48EC"/>
    <w:rsid w:val="00CE5C68"/>
    <w:rsid w:val="00CE6563"/>
    <w:rsid w:val="00CE750A"/>
    <w:rsid w:val="00CE7816"/>
    <w:rsid w:val="00CE7D28"/>
    <w:rsid w:val="00CF14B5"/>
    <w:rsid w:val="00CF1C52"/>
    <w:rsid w:val="00CF1D5F"/>
    <w:rsid w:val="00CF2347"/>
    <w:rsid w:val="00CF25D6"/>
    <w:rsid w:val="00CF329A"/>
    <w:rsid w:val="00CF32EB"/>
    <w:rsid w:val="00CF337E"/>
    <w:rsid w:val="00CF3818"/>
    <w:rsid w:val="00CF38F1"/>
    <w:rsid w:val="00CF3C97"/>
    <w:rsid w:val="00CF4F08"/>
    <w:rsid w:val="00CF54B8"/>
    <w:rsid w:val="00CF5F5A"/>
    <w:rsid w:val="00CF63F1"/>
    <w:rsid w:val="00CF73EA"/>
    <w:rsid w:val="00CF7754"/>
    <w:rsid w:val="00CF7853"/>
    <w:rsid w:val="00CF78C3"/>
    <w:rsid w:val="00CF7FE4"/>
    <w:rsid w:val="00D0083D"/>
    <w:rsid w:val="00D00B44"/>
    <w:rsid w:val="00D00B5B"/>
    <w:rsid w:val="00D010A9"/>
    <w:rsid w:val="00D011A3"/>
    <w:rsid w:val="00D0145B"/>
    <w:rsid w:val="00D01BA4"/>
    <w:rsid w:val="00D024DD"/>
    <w:rsid w:val="00D027BA"/>
    <w:rsid w:val="00D02A7E"/>
    <w:rsid w:val="00D02CFE"/>
    <w:rsid w:val="00D031CE"/>
    <w:rsid w:val="00D032A8"/>
    <w:rsid w:val="00D03C51"/>
    <w:rsid w:val="00D04E9F"/>
    <w:rsid w:val="00D058A1"/>
    <w:rsid w:val="00D05AFB"/>
    <w:rsid w:val="00D07282"/>
    <w:rsid w:val="00D0747E"/>
    <w:rsid w:val="00D07DFD"/>
    <w:rsid w:val="00D07F87"/>
    <w:rsid w:val="00D100FF"/>
    <w:rsid w:val="00D10306"/>
    <w:rsid w:val="00D118BB"/>
    <w:rsid w:val="00D11B22"/>
    <w:rsid w:val="00D12BA6"/>
    <w:rsid w:val="00D12BE9"/>
    <w:rsid w:val="00D14393"/>
    <w:rsid w:val="00D149E3"/>
    <w:rsid w:val="00D1511E"/>
    <w:rsid w:val="00D15EF5"/>
    <w:rsid w:val="00D1665B"/>
    <w:rsid w:val="00D1712D"/>
    <w:rsid w:val="00D17D13"/>
    <w:rsid w:val="00D21604"/>
    <w:rsid w:val="00D22F31"/>
    <w:rsid w:val="00D22F40"/>
    <w:rsid w:val="00D23477"/>
    <w:rsid w:val="00D239E3"/>
    <w:rsid w:val="00D240F0"/>
    <w:rsid w:val="00D24562"/>
    <w:rsid w:val="00D246ED"/>
    <w:rsid w:val="00D248DF"/>
    <w:rsid w:val="00D24D89"/>
    <w:rsid w:val="00D24F1F"/>
    <w:rsid w:val="00D25009"/>
    <w:rsid w:val="00D255BC"/>
    <w:rsid w:val="00D25F2A"/>
    <w:rsid w:val="00D2725B"/>
    <w:rsid w:val="00D27FCF"/>
    <w:rsid w:val="00D30130"/>
    <w:rsid w:val="00D308CB"/>
    <w:rsid w:val="00D30BD4"/>
    <w:rsid w:val="00D315DB"/>
    <w:rsid w:val="00D318A4"/>
    <w:rsid w:val="00D323C5"/>
    <w:rsid w:val="00D32D71"/>
    <w:rsid w:val="00D34490"/>
    <w:rsid w:val="00D34DB7"/>
    <w:rsid w:val="00D35248"/>
    <w:rsid w:val="00D37A53"/>
    <w:rsid w:val="00D40FD0"/>
    <w:rsid w:val="00D4236C"/>
    <w:rsid w:val="00D42779"/>
    <w:rsid w:val="00D43F66"/>
    <w:rsid w:val="00D456FA"/>
    <w:rsid w:val="00D458D5"/>
    <w:rsid w:val="00D472B2"/>
    <w:rsid w:val="00D5099D"/>
    <w:rsid w:val="00D51071"/>
    <w:rsid w:val="00D51266"/>
    <w:rsid w:val="00D5149D"/>
    <w:rsid w:val="00D51D1C"/>
    <w:rsid w:val="00D525DA"/>
    <w:rsid w:val="00D52663"/>
    <w:rsid w:val="00D53D40"/>
    <w:rsid w:val="00D540CB"/>
    <w:rsid w:val="00D542F4"/>
    <w:rsid w:val="00D5460E"/>
    <w:rsid w:val="00D54713"/>
    <w:rsid w:val="00D54924"/>
    <w:rsid w:val="00D549B7"/>
    <w:rsid w:val="00D55CFF"/>
    <w:rsid w:val="00D56354"/>
    <w:rsid w:val="00D61B2A"/>
    <w:rsid w:val="00D634CC"/>
    <w:rsid w:val="00D6473F"/>
    <w:rsid w:val="00D64A4A"/>
    <w:rsid w:val="00D64FB3"/>
    <w:rsid w:val="00D65B23"/>
    <w:rsid w:val="00D65C41"/>
    <w:rsid w:val="00D66132"/>
    <w:rsid w:val="00D666BC"/>
    <w:rsid w:val="00D6693B"/>
    <w:rsid w:val="00D66F42"/>
    <w:rsid w:val="00D67AF4"/>
    <w:rsid w:val="00D67DF7"/>
    <w:rsid w:val="00D728F6"/>
    <w:rsid w:val="00D72B0F"/>
    <w:rsid w:val="00D73193"/>
    <w:rsid w:val="00D74837"/>
    <w:rsid w:val="00D75442"/>
    <w:rsid w:val="00D754C3"/>
    <w:rsid w:val="00D758DB"/>
    <w:rsid w:val="00D763ED"/>
    <w:rsid w:val="00D76564"/>
    <w:rsid w:val="00D766A1"/>
    <w:rsid w:val="00D77AA9"/>
    <w:rsid w:val="00D80164"/>
    <w:rsid w:val="00D8099D"/>
    <w:rsid w:val="00D81C11"/>
    <w:rsid w:val="00D81CD9"/>
    <w:rsid w:val="00D82A6E"/>
    <w:rsid w:val="00D830C8"/>
    <w:rsid w:val="00D86153"/>
    <w:rsid w:val="00D86598"/>
    <w:rsid w:val="00D871D8"/>
    <w:rsid w:val="00D874DD"/>
    <w:rsid w:val="00D87B12"/>
    <w:rsid w:val="00D910D9"/>
    <w:rsid w:val="00D91156"/>
    <w:rsid w:val="00D91C9C"/>
    <w:rsid w:val="00D9241A"/>
    <w:rsid w:val="00D9277E"/>
    <w:rsid w:val="00D929FB"/>
    <w:rsid w:val="00D92BB9"/>
    <w:rsid w:val="00D93117"/>
    <w:rsid w:val="00D93129"/>
    <w:rsid w:val="00D9333D"/>
    <w:rsid w:val="00D9381D"/>
    <w:rsid w:val="00D943FF"/>
    <w:rsid w:val="00D9665E"/>
    <w:rsid w:val="00D9705E"/>
    <w:rsid w:val="00D972B2"/>
    <w:rsid w:val="00D9738A"/>
    <w:rsid w:val="00D97B94"/>
    <w:rsid w:val="00DA146B"/>
    <w:rsid w:val="00DA16CF"/>
    <w:rsid w:val="00DA1CC9"/>
    <w:rsid w:val="00DA2066"/>
    <w:rsid w:val="00DA212F"/>
    <w:rsid w:val="00DA2529"/>
    <w:rsid w:val="00DA2DD2"/>
    <w:rsid w:val="00DA2DEF"/>
    <w:rsid w:val="00DA429E"/>
    <w:rsid w:val="00DA44A8"/>
    <w:rsid w:val="00DA4709"/>
    <w:rsid w:val="00DA50A1"/>
    <w:rsid w:val="00DA63BB"/>
    <w:rsid w:val="00DA666E"/>
    <w:rsid w:val="00DA66A0"/>
    <w:rsid w:val="00DA66D4"/>
    <w:rsid w:val="00DA670D"/>
    <w:rsid w:val="00DA6957"/>
    <w:rsid w:val="00DA6A44"/>
    <w:rsid w:val="00DA76FF"/>
    <w:rsid w:val="00DB0BD5"/>
    <w:rsid w:val="00DB19AD"/>
    <w:rsid w:val="00DB2E0D"/>
    <w:rsid w:val="00DB2F84"/>
    <w:rsid w:val="00DB440D"/>
    <w:rsid w:val="00DB59D9"/>
    <w:rsid w:val="00DB5A74"/>
    <w:rsid w:val="00DB5EF1"/>
    <w:rsid w:val="00DB61C3"/>
    <w:rsid w:val="00DB7238"/>
    <w:rsid w:val="00DB7FC5"/>
    <w:rsid w:val="00DC0490"/>
    <w:rsid w:val="00DC0CA1"/>
    <w:rsid w:val="00DC167C"/>
    <w:rsid w:val="00DC2DAF"/>
    <w:rsid w:val="00DC2F4C"/>
    <w:rsid w:val="00DC3C8D"/>
    <w:rsid w:val="00DC55AE"/>
    <w:rsid w:val="00DC5996"/>
    <w:rsid w:val="00DC60B5"/>
    <w:rsid w:val="00DC7C8F"/>
    <w:rsid w:val="00DD1D96"/>
    <w:rsid w:val="00DD2EC1"/>
    <w:rsid w:val="00DD2FBB"/>
    <w:rsid w:val="00DD31E0"/>
    <w:rsid w:val="00DD370D"/>
    <w:rsid w:val="00DD3B6B"/>
    <w:rsid w:val="00DD3E30"/>
    <w:rsid w:val="00DD482A"/>
    <w:rsid w:val="00DD525E"/>
    <w:rsid w:val="00DD56B2"/>
    <w:rsid w:val="00DD5D4B"/>
    <w:rsid w:val="00DD6801"/>
    <w:rsid w:val="00DD7133"/>
    <w:rsid w:val="00DE1718"/>
    <w:rsid w:val="00DE243F"/>
    <w:rsid w:val="00DE2A5E"/>
    <w:rsid w:val="00DE2A96"/>
    <w:rsid w:val="00DE2D90"/>
    <w:rsid w:val="00DE366A"/>
    <w:rsid w:val="00DE37BF"/>
    <w:rsid w:val="00DE3E3C"/>
    <w:rsid w:val="00DE447F"/>
    <w:rsid w:val="00DE4807"/>
    <w:rsid w:val="00DE483E"/>
    <w:rsid w:val="00DE4E77"/>
    <w:rsid w:val="00DE5855"/>
    <w:rsid w:val="00DE642D"/>
    <w:rsid w:val="00DE6E70"/>
    <w:rsid w:val="00DE7394"/>
    <w:rsid w:val="00DE7C9D"/>
    <w:rsid w:val="00DE7F4A"/>
    <w:rsid w:val="00DE7FE2"/>
    <w:rsid w:val="00DF066C"/>
    <w:rsid w:val="00DF0976"/>
    <w:rsid w:val="00DF0C15"/>
    <w:rsid w:val="00DF0F00"/>
    <w:rsid w:val="00DF486D"/>
    <w:rsid w:val="00DF4B0D"/>
    <w:rsid w:val="00DF4D25"/>
    <w:rsid w:val="00DF586D"/>
    <w:rsid w:val="00DF58A2"/>
    <w:rsid w:val="00DF5D87"/>
    <w:rsid w:val="00DF6A2E"/>
    <w:rsid w:val="00DF73B8"/>
    <w:rsid w:val="00DF7AE3"/>
    <w:rsid w:val="00E01110"/>
    <w:rsid w:val="00E01383"/>
    <w:rsid w:val="00E01A07"/>
    <w:rsid w:val="00E02086"/>
    <w:rsid w:val="00E022BC"/>
    <w:rsid w:val="00E03097"/>
    <w:rsid w:val="00E0382C"/>
    <w:rsid w:val="00E03DEE"/>
    <w:rsid w:val="00E05518"/>
    <w:rsid w:val="00E055D1"/>
    <w:rsid w:val="00E05A88"/>
    <w:rsid w:val="00E060D4"/>
    <w:rsid w:val="00E07672"/>
    <w:rsid w:val="00E079FE"/>
    <w:rsid w:val="00E103ED"/>
    <w:rsid w:val="00E10768"/>
    <w:rsid w:val="00E10A4D"/>
    <w:rsid w:val="00E10CCD"/>
    <w:rsid w:val="00E10DD3"/>
    <w:rsid w:val="00E11778"/>
    <w:rsid w:val="00E11B92"/>
    <w:rsid w:val="00E12CDC"/>
    <w:rsid w:val="00E137C7"/>
    <w:rsid w:val="00E1507F"/>
    <w:rsid w:val="00E150DE"/>
    <w:rsid w:val="00E15798"/>
    <w:rsid w:val="00E1631F"/>
    <w:rsid w:val="00E165D0"/>
    <w:rsid w:val="00E166F2"/>
    <w:rsid w:val="00E16C1E"/>
    <w:rsid w:val="00E16FAA"/>
    <w:rsid w:val="00E1739D"/>
    <w:rsid w:val="00E17616"/>
    <w:rsid w:val="00E17D85"/>
    <w:rsid w:val="00E207CC"/>
    <w:rsid w:val="00E20E9F"/>
    <w:rsid w:val="00E20FDD"/>
    <w:rsid w:val="00E21574"/>
    <w:rsid w:val="00E21F9A"/>
    <w:rsid w:val="00E22033"/>
    <w:rsid w:val="00E2211B"/>
    <w:rsid w:val="00E22564"/>
    <w:rsid w:val="00E228DC"/>
    <w:rsid w:val="00E2305C"/>
    <w:rsid w:val="00E23567"/>
    <w:rsid w:val="00E23956"/>
    <w:rsid w:val="00E23E9C"/>
    <w:rsid w:val="00E24F5D"/>
    <w:rsid w:val="00E26897"/>
    <w:rsid w:val="00E27141"/>
    <w:rsid w:val="00E273C9"/>
    <w:rsid w:val="00E27685"/>
    <w:rsid w:val="00E30FBB"/>
    <w:rsid w:val="00E313DA"/>
    <w:rsid w:val="00E31A52"/>
    <w:rsid w:val="00E3299E"/>
    <w:rsid w:val="00E33173"/>
    <w:rsid w:val="00E338D6"/>
    <w:rsid w:val="00E33A29"/>
    <w:rsid w:val="00E342A5"/>
    <w:rsid w:val="00E35785"/>
    <w:rsid w:val="00E360DD"/>
    <w:rsid w:val="00E375D1"/>
    <w:rsid w:val="00E402F5"/>
    <w:rsid w:val="00E4030B"/>
    <w:rsid w:val="00E418A3"/>
    <w:rsid w:val="00E41923"/>
    <w:rsid w:val="00E42BEA"/>
    <w:rsid w:val="00E42DC6"/>
    <w:rsid w:val="00E43BC1"/>
    <w:rsid w:val="00E44137"/>
    <w:rsid w:val="00E443E6"/>
    <w:rsid w:val="00E44498"/>
    <w:rsid w:val="00E44C7B"/>
    <w:rsid w:val="00E4516B"/>
    <w:rsid w:val="00E451E4"/>
    <w:rsid w:val="00E452AD"/>
    <w:rsid w:val="00E46A89"/>
    <w:rsid w:val="00E47683"/>
    <w:rsid w:val="00E47EA7"/>
    <w:rsid w:val="00E50538"/>
    <w:rsid w:val="00E505C4"/>
    <w:rsid w:val="00E51492"/>
    <w:rsid w:val="00E51DE1"/>
    <w:rsid w:val="00E525D4"/>
    <w:rsid w:val="00E5321F"/>
    <w:rsid w:val="00E54567"/>
    <w:rsid w:val="00E54604"/>
    <w:rsid w:val="00E55112"/>
    <w:rsid w:val="00E56A46"/>
    <w:rsid w:val="00E56F29"/>
    <w:rsid w:val="00E57428"/>
    <w:rsid w:val="00E6013F"/>
    <w:rsid w:val="00E605F7"/>
    <w:rsid w:val="00E60B2C"/>
    <w:rsid w:val="00E612B9"/>
    <w:rsid w:val="00E62A9C"/>
    <w:rsid w:val="00E62B24"/>
    <w:rsid w:val="00E6457E"/>
    <w:rsid w:val="00E64DC7"/>
    <w:rsid w:val="00E650D2"/>
    <w:rsid w:val="00E6562D"/>
    <w:rsid w:val="00E6619D"/>
    <w:rsid w:val="00E6662F"/>
    <w:rsid w:val="00E666FD"/>
    <w:rsid w:val="00E66D04"/>
    <w:rsid w:val="00E677F8"/>
    <w:rsid w:val="00E70BCC"/>
    <w:rsid w:val="00E71EBD"/>
    <w:rsid w:val="00E72518"/>
    <w:rsid w:val="00E73218"/>
    <w:rsid w:val="00E74407"/>
    <w:rsid w:val="00E746C3"/>
    <w:rsid w:val="00E75301"/>
    <w:rsid w:val="00E7542B"/>
    <w:rsid w:val="00E755EF"/>
    <w:rsid w:val="00E757B1"/>
    <w:rsid w:val="00E75825"/>
    <w:rsid w:val="00E75978"/>
    <w:rsid w:val="00E75CBB"/>
    <w:rsid w:val="00E76AF8"/>
    <w:rsid w:val="00E76BC3"/>
    <w:rsid w:val="00E76C0C"/>
    <w:rsid w:val="00E77308"/>
    <w:rsid w:val="00E77AF4"/>
    <w:rsid w:val="00E77D2D"/>
    <w:rsid w:val="00E80F0B"/>
    <w:rsid w:val="00E80F8D"/>
    <w:rsid w:val="00E81217"/>
    <w:rsid w:val="00E812D7"/>
    <w:rsid w:val="00E81570"/>
    <w:rsid w:val="00E817EF"/>
    <w:rsid w:val="00E81A70"/>
    <w:rsid w:val="00E82842"/>
    <w:rsid w:val="00E833A4"/>
    <w:rsid w:val="00E84261"/>
    <w:rsid w:val="00E847D6"/>
    <w:rsid w:val="00E84835"/>
    <w:rsid w:val="00E855ED"/>
    <w:rsid w:val="00E858BA"/>
    <w:rsid w:val="00E862BC"/>
    <w:rsid w:val="00E86B9D"/>
    <w:rsid w:val="00E86E78"/>
    <w:rsid w:val="00E87791"/>
    <w:rsid w:val="00E877C2"/>
    <w:rsid w:val="00E91509"/>
    <w:rsid w:val="00E9243A"/>
    <w:rsid w:val="00E92B1D"/>
    <w:rsid w:val="00E9474C"/>
    <w:rsid w:val="00E9480A"/>
    <w:rsid w:val="00E94A3F"/>
    <w:rsid w:val="00E94FC1"/>
    <w:rsid w:val="00E95132"/>
    <w:rsid w:val="00E952CB"/>
    <w:rsid w:val="00E953BD"/>
    <w:rsid w:val="00E96F00"/>
    <w:rsid w:val="00E972C4"/>
    <w:rsid w:val="00E97302"/>
    <w:rsid w:val="00E9760E"/>
    <w:rsid w:val="00E97D4A"/>
    <w:rsid w:val="00EA0146"/>
    <w:rsid w:val="00EA0A30"/>
    <w:rsid w:val="00EA1CE8"/>
    <w:rsid w:val="00EA229A"/>
    <w:rsid w:val="00EA22DD"/>
    <w:rsid w:val="00EA2D0A"/>
    <w:rsid w:val="00EA2DB0"/>
    <w:rsid w:val="00EA4C5E"/>
    <w:rsid w:val="00EA5B0B"/>
    <w:rsid w:val="00EA5D62"/>
    <w:rsid w:val="00EA5F56"/>
    <w:rsid w:val="00EA63D2"/>
    <w:rsid w:val="00EA64C7"/>
    <w:rsid w:val="00EA6867"/>
    <w:rsid w:val="00EA6883"/>
    <w:rsid w:val="00EA697C"/>
    <w:rsid w:val="00EA72E1"/>
    <w:rsid w:val="00EA733F"/>
    <w:rsid w:val="00EA7A48"/>
    <w:rsid w:val="00EA7A70"/>
    <w:rsid w:val="00EA7DEA"/>
    <w:rsid w:val="00EA7EFB"/>
    <w:rsid w:val="00EB068D"/>
    <w:rsid w:val="00EB1285"/>
    <w:rsid w:val="00EB14B5"/>
    <w:rsid w:val="00EB1768"/>
    <w:rsid w:val="00EB2151"/>
    <w:rsid w:val="00EB269A"/>
    <w:rsid w:val="00EB2884"/>
    <w:rsid w:val="00EB3F0C"/>
    <w:rsid w:val="00EB4B11"/>
    <w:rsid w:val="00EB5F75"/>
    <w:rsid w:val="00EB7C88"/>
    <w:rsid w:val="00EC0009"/>
    <w:rsid w:val="00EC0440"/>
    <w:rsid w:val="00EC09CB"/>
    <w:rsid w:val="00EC18C9"/>
    <w:rsid w:val="00EC1909"/>
    <w:rsid w:val="00EC1CF6"/>
    <w:rsid w:val="00EC3360"/>
    <w:rsid w:val="00EC34A6"/>
    <w:rsid w:val="00EC3F5D"/>
    <w:rsid w:val="00EC6981"/>
    <w:rsid w:val="00EC69FA"/>
    <w:rsid w:val="00EC6B6A"/>
    <w:rsid w:val="00EC6C85"/>
    <w:rsid w:val="00EC6C9A"/>
    <w:rsid w:val="00EC76A6"/>
    <w:rsid w:val="00EC7E12"/>
    <w:rsid w:val="00ED0292"/>
    <w:rsid w:val="00ED0667"/>
    <w:rsid w:val="00ED103A"/>
    <w:rsid w:val="00ED179F"/>
    <w:rsid w:val="00ED274C"/>
    <w:rsid w:val="00ED5E79"/>
    <w:rsid w:val="00ED626C"/>
    <w:rsid w:val="00ED64A2"/>
    <w:rsid w:val="00ED6635"/>
    <w:rsid w:val="00ED689F"/>
    <w:rsid w:val="00ED6DEF"/>
    <w:rsid w:val="00ED6EB2"/>
    <w:rsid w:val="00ED7450"/>
    <w:rsid w:val="00EE1A84"/>
    <w:rsid w:val="00EE27C9"/>
    <w:rsid w:val="00EE31D3"/>
    <w:rsid w:val="00EE4FE7"/>
    <w:rsid w:val="00EE5310"/>
    <w:rsid w:val="00EE5BCA"/>
    <w:rsid w:val="00EE5D03"/>
    <w:rsid w:val="00EE5F6F"/>
    <w:rsid w:val="00EE6322"/>
    <w:rsid w:val="00EE6F38"/>
    <w:rsid w:val="00EE79A8"/>
    <w:rsid w:val="00EF000A"/>
    <w:rsid w:val="00EF0DA8"/>
    <w:rsid w:val="00EF161D"/>
    <w:rsid w:val="00EF178C"/>
    <w:rsid w:val="00EF23C7"/>
    <w:rsid w:val="00EF3A30"/>
    <w:rsid w:val="00EF431E"/>
    <w:rsid w:val="00EF54AB"/>
    <w:rsid w:val="00EF553F"/>
    <w:rsid w:val="00EF5F22"/>
    <w:rsid w:val="00EF678A"/>
    <w:rsid w:val="00EF67A4"/>
    <w:rsid w:val="00EF77BC"/>
    <w:rsid w:val="00F00322"/>
    <w:rsid w:val="00F00A2B"/>
    <w:rsid w:val="00F00DF2"/>
    <w:rsid w:val="00F0101B"/>
    <w:rsid w:val="00F0291B"/>
    <w:rsid w:val="00F02B5D"/>
    <w:rsid w:val="00F039AE"/>
    <w:rsid w:val="00F04995"/>
    <w:rsid w:val="00F049B3"/>
    <w:rsid w:val="00F04BF6"/>
    <w:rsid w:val="00F050CE"/>
    <w:rsid w:val="00F06594"/>
    <w:rsid w:val="00F06E1A"/>
    <w:rsid w:val="00F07365"/>
    <w:rsid w:val="00F10314"/>
    <w:rsid w:val="00F103CB"/>
    <w:rsid w:val="00F10C3B"/>
    <w:rsid w:val="00F11604"/>
    <w:rsid w:val="00F11A41"/>
    <w:rsid w:val="00F11BA4"/>
    <w:rsid w:val="00F124CA"/>
    <w:rsid w:val="00F130C7"/>
    <w:rsid w:val="00F15857"/>
    <w:rsid w:val="00F161E8"/>
    <w:rsid w:val="00F16631"/>
    <w:rsid w:val="00F16A40"/>
    <w:rsid w:val="00F16D93"/>
    <w:rsid w:val="00F17A83"/>
    <w:rsid w:val="00F20997"/>
    <w:rsid w:val="00F21210"/>
    <w:rsid w:val="00F2183F"/>
    <w:rsid w:val="00F21944"/>
    <w:rsid w:val="00F22838"/>
    <w:rsid w:val="00F23E0A"/>
    <w:rsid w:val="00F24755"/>
    <w:rsid w:val="00F24D15"/>
    <w:rsid w:val="00F26099"/>
    <w:rsid w:val="00F26752"/>
    <w:rsid w:val="00F268A2"/>
    <w:rsid w:val="00F26DBF"/>
    <w:rsid w:val="00F27156"/>
    <w:rsid w:val="00F27494"/>
    <w:rsid w:val="00F27B29"/>
    <w:rsid w:val="00F30B9C"/>
    <w:rsid w:val="00F30F3C"/>
    <w:rsid w:val="00F31C83"/>
    <w:rsid w:val="00F3346A"/>
    <w:rsid w:val="00F33992"/>
    <w:rsid w:val="00F33C46"/>
    <w:rsid w:val="00F34365"/>
    <w:rsid w:val="00F344E3"/>
    <w:rsid w:val="00F35121"/>
    <w:rsid w:val="00F35B9D"/>
    <w:rsid w:val="00F362DA"/>
    <w:rsid w:val="00F36FF7"/>
    <w:rsid w:val="00F373BB"/>
    <w:rsid w:val="00F37ADC"/>
    <w:rsid w:val="00F40A5D"/>
    <w:rsid w:val="00F40E4A"/>
    <w:rsid w:val="00F4144C"/>
    <w:rsid w:val="00F415EF"/>
    <w:rsid w:val="00F41704"/>
    <w:rsid w:val="00F4211A"/>
    <w:rsid w:val="00F42189"/>
    <w:rsid w:val="00F43091"/>
    <w:rsid w:val="00F43114"/>
    <w:rsid w:val="00F44038"/>
    <w:rsid w:val="00F446AD"/>
    <w:rsid w:val="00F462C6"/>
    <w:rsid w:val="00F46B18"/>
    <w:rsid w:val="00F46F18"/>
    <w:rsid w:val="00F47370"/>
    <w:rsid w:val="00F50C17"/>
    <w:rsid w:val="00F53FB8"/>
    <w:rsid w:val="00F53FC1"/>
    <w:rsid w:val="00F5406D"/>
    <w:rsid w:val="00F54CB6"/>
    <w:rsid w:val="00F556CE"/>
    <w:rsid w:val="00F55B1C"/>
    <w:rsid w:val="00F56BCF"/>
    <w:rsid w:val="00F6083A"/>
    <w:rsid w:val="00F60BF0"/>
    <w:rsid w:val="00F6143F"/>
    <w:rsid w:val="00F62B27"/>
    <w:rsid w:val="00F637FD"/>
    <w:rsid w:val="00F647A0"/>
    <w:rsid w:val="00F64938"/>
    <w:rsid w:val="00F653C0"/>
    <w:rsid w:val="00F65490"/>
    <w:rsid w:val="00F65860"/>
    <w:rsid w:val="00F65E59"/>
    <w:rsid w:val="00F66B48"/>
    <w:rsid w:val="00F66DD6"/>
    <w:rsid w:val="00F675D6"/>
    <w:rsid w:val="00F67E74"/>
    <w:rsid w:val="00F704D3"/>
    <w:rsid w:val="00F70916"/>
    <w:rsid w:val="00F711A4"/>
    <w:rsid w:val="00F71209"/>
    <w:rsid w:val="00F71438"/>
    <w:rsid w:val="00F71B4F"/>
    <w:rsid w:val="00F72274"/>
    <w:rsid w:val="00F73165"/>
    <w:rsid w:val="00F73A58"/>
    <w:rsid w:val="00F748AA"/>
    <w:rsid w:val="00F77188"/>
    <w:rsid w:val="00F77A8D"/>
    <w:rsid w:val="00F80346"/>
    <w:rsid w:val="00F80495"/>
    <w:rsid w:val="00F805AB"/>
    <w:rsid w:val="00F80659"/>
    <w:rsid w:val="00F807EF"/>
    <w:rsid w:val="00F80CDE"/>
    <w:rsid w:val="00F80E44"/>
    <w:rsid w:val="00F819E3"/>
    <w:rsid w:val="00F82377"/>
    <w:rsid w:val="00F83743"/>
    <w:rsid w:val="00F839E1"/>
    <w:rsid w:val="00F8405D"/>
    <w:rsid w:val="00F841BF"/>
    <w:rsid w:val="00F84379"/>
    <w:rsid w:val="00F84C72"/>
    <w:rsid w:val="00F852CC"/>
    <w:rsid w:val="00F8557C"/>
    <w:rsid w:val="00F8595A"/>
    <w:rsid w:val="00F85E58"/>
    <w:rsid w:val="00F86034"/>
    <w:rsid w:val="00F869C9"/>
    <w:rsid w:val="00F86A85"/>
    <w:rsid w:val="00F86C1A"/>
    <w:rsid w:val="00F876E0"/>
    <w:rsid w:val="00F87CEC"/>
    <w:rsid w:val="00F90F69"/>
    <w:rsid w:val="00F91063"/>
    <w:rsid w:val="00F91549"/>
    <w:rsid w:val="00F9217C"/>
    <w:rsid w:val="00F92480"/>
    <w:rsid w:val="00F92708"/>
    <w:rsid w:val="00F932F1"/>
    <w:rsid w:val="00F93427"/>
    <w:rsid w:val="00F934EC"/>
    <w:rsid w:val="00F93D71"/>
    <w:rsid w:val="00F94584"/>
    <w:rsid w:val="00F95A38"/>
    <w:rsid w:val="00F95F2F"/>
    <w:rsid w:val="00F96075"/>
    <w:rsid w:val="00F96266"/>
    <w:rsid w:val="00F962BE"/>
    <w:rsid w:val="00F971CD"/>
    <w:rsid w:val="00F97764"/>
    <w:rsid w:val="00FA0DA1"/>
    <w:rsid w:val="00FA0DAD"/>
    <w:rsid w:val="00FA1614"/>
    <w:rsid w:val="00FA16B4"/>
    <w:rsid w:val="00FA19F1"/>
    <w:rsid w:val="00FA1B32"/>
    <w:rsid w:val="00FA3116"/>
    <w:rsid w:val="00FA32A9"/>
    <w:rsid w:val="00FA3801"/>
    <w:rsid w:val="00FA3B94"/>
    <w:rsid w:val="00FA421C"/>
    <w:rsid w:val="00FA4B82"/>
    <w:rsid w:val="00FA4FC5"/>
    <w:rsid w:val="00FA5585"/>
    <w:rsid w:val="00FA56FF"/>
    <w:rsid w:val="00FA5D3C"/>
    <w:rsid w:val="00FA7859"/>
    <w:rsid w:val="00FA7918"/>
    <w:rsid w:val="00FA7EFD"/>
    <w:rsid w:val="00FB1682"/>
    <w:rsid w:val="00FB20B9"/>
    <w:rsid w:val="00FB223E"/>
    <w:rsid w:val="00FB2E6E"/>
    <w:rsid w:val="00FB2F6E"/>
    <w:rsid w:val="00FB3B70"/>
    <w:rsid w:val="00FB644B"/>
    <w:rsid w:val="00FB69AA"/>
    <w:rsid w:val="00FB6BB5"/>
    <w:rsid w:val="00FB744F"/>
    <w:rsid w:val="00FB76C8"/>
    <w:rsid w:val="00FC1393"/>
    <w:rsid w:val="00FC1B13"/>
    <w:rsid w:val="00FC2DF7"/>
    <w:rsid w:val="00FC2F8B"/>
    <w:rsid w:val="00FC3284"/>
    <w:rsid w:val="00FC3822"/>
    <w:rsid w:val="00FC4822"/>
    <w:rsid w:val="00FC5FC1"/>
    <w:rsid w:val="00FC652D"/>
    <w:rsid w:val="00FC7BFD"/>
    <w:rsid w:val="00FD0F0C"/>
    <w:rsid w:val="00FD1591"/>
    <w:rsid w:val="00FD2012"/>
    <w:rsid w:val="00FD2295"/>
    <w:rsid w:val="00FD2772"/>
    <w:rsid w:val="00FD2AD7"/>
    <w:rsid w:val="00FD305A"/>
    <w:rsid w:val="00FD36C0"/>
    <w:rsid w:val="00FD3EA2"/>
    <w:rsid w:val="00FD4945"/>
    <w:rsid w:val="00FD6EE6"/>
    <w:rsid w:val="00FD6F6D"/>
    <w:rsid w:val="00FD7DD7"/>
    <w:rsid w:val="00FE16BA"/>
    <w:rsid w:val="00FE298C"/>
    <w:rsid w:val="00FE2BCD"/>
    <w:rsid w:val="00FE2C34"/>
    <w:rsid w:val="00FE359C"/>
    <w:rsid w:val="00FE3CE8"/>
    <w:rsid w:val="00FE45ED"/>
    <w:rsid w:val="00FE54AD"/>
    <w:rsid w:val="00FE5C11"/>
    <w:rsid w:val="00FE5EBD"/>
    <w:rsid w:val="00FF2503"/>
    <w:rsid w:val="00FF3C32"/>
    <w:rsid w:val="00FF489E"/>
    <w:rsid w:val="00FF51A4"/>
    <w:rsid w:val="00FF5965"/>
    <w:rsid w:val="00FF6974"/>
    <w:rsid w:val="00FF6CE7"/>
    <w:rsid w:val="00FF7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712"/>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link w:val="FootnoteText"/>
    <w:uiPriority w:val="99"/>
    <w:semiHidden/>
    <w:locked/>
    <w:rsid w:val="008E6D19"/>
    <w:rPr>
      <w:rFonts w:ascii="Arial" w:hAnsi="Arial" w:cs="Arial"/>
      <w:color w:val="000000"/>
      <w:lang w:val="en-GB"/>
    </w:rPr>
  </w:style>
  <w:style w:type="character" w:styleId="FootnoteReference">
    <w:name w:val="footnote reference"/>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rFonts w:ascii="Tahoma" w:hAnsi="Tahoma" w:cs="Tahoma"/>
      <w:sz w:val="16"/>
      <w:szCs w:val="16"/>
    </w:rPr>
  </w:style>
  <w:style w:type="character" w:customStyle="1" w:styleId="BalloonTextChar">
    <w:name w:val="Balloon Text Char"/>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paragraph" w:styleId="EndnoteText">
    <w:name w:val="endnote text"/>
    <w:basedOn w:val="Normal"/>
    <w:link w:val="EndnoteTextChar"/>
    <w:uiPriority w:val="99"/>
    <w:semiHidden/>
    <w:rsid w:val="001F2F12"/>
    <w:rPr>
      <w:sz w:val="20"/>
      <w:szCs w:val="20"/>
    </w:rPr>
  </w:style>
  <w:style w:type="character" w:customStyle="1" w:styleId="EndnoteTextChar">
    <w:name w:val="Endnote Text Char"/>
    <w:link w:val="EndnoteText"/>
    <w:uiPriority w:val="99"/>
    <w:semiHidden/>
    <w:locked/>
    <w:rsid w:val="001F2F12"/>
    <w:rPr>
      <w:b/>
      <w:bCs/>
      <w:color w:val="000000"/>
    </w:rPr>
  </w:style>
  <w:style w:type="character" w:styleId="EndnoteReference">
    <w:name w:val="endnote reference"/>
    <w:uiPriority w:val="99"/>
    <w:semiHidden/>
    <w:rsid w:val="001F2F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712"/>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link w:val="FootnoteText"/>
    <w:uiPriority w:val="99"/>
    <w:semiHidden/>
    <w:locked/>
    <w:rsid w:val="008E6D19"/>
    <w:rPr>
      <w:rFonts w:ascii="Arial" w:hAnsi="Arial" w:cs="Arial"/>
      <w:color w:val="000000"/>
      <w:lang w:val="en-GB"/>
    </w:rPr>
  </w:style>
  <w:style w:type="character" w:styleId="FootnoteReference">
    <w:name w:val="footnote reference"/>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rFonts w:ascii="Tahoma" w:hAnsi="Tahoma" w:cs="Tahoma"/>
      <w:sz w:val="16"/>
      <w:szCs w:val="16"/>
    </w:rPr>
  </w:style>
  <w:style w:type="character" w:customStyle="1" w:styleId="BalloonTextChar">
    <w:name w:val="Balloon Text Char"/>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paragraph" w:styleId="EndnoteText">
    <w:name w:val="endnote text"/>
    <w:basedOn w:val="Normal"/>
    <w:link w:val="EndnoteTextChar"/>
    <w:uiPriority w:val="99"/>
    <w:semiHidden/>
    <w:rsid w:val="001F2F12"/>
    <w:rPr>
      <w:sz w:val="20"/>
      <w:szCs w:val="20"/>
    </w:rPr>
  </w:style>
  <w:style w:type="character" w:customStyle="1" w:styleId="EndnoteTextChar">
    <w:name w:val="Endnote Text Char"/>
    <w:link w:val="EndnoteText"/>
    <w:uiPriority w:val="99"/>
    <w:semiHidden/>
    <w:locked/>
    <w:rsid w:val="001F2F12"/>
    <w:rPr>
      <w:b/>
      <w:bCs/>
      <w:color w:val="000000"/>
    </w:rPr>
  </w:style>
  <w:style w:type="character" w:styleId="EndnoteReference">
    <w:name w:val="endnote reference"/>
    <w:uiPriority w:val="99"/>
    <w:semiHidden/>
    <w:rsid w:val="001F2F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6646">
      <w:marLeft w:val="0"/>
      <w:marRight w:val="0"/>
      <w:marTop w:val="0"/>
      <w:marBottom w:val="0"/>
      <w:divBdr>
        <w:top w:val="none" w:sz="0" w:space="0" w:color="auto"/>
        <w:left w:val="none" w:sz="0" w:space="0" w:color="auto"/>
        <w:bottom w:val="none" w:sz="0" w:space="0" w:color="auto"/>
        <w:right w:val="none" w:sz="0" w:space="0" w:color="auto"/>
      </w:divBdr>
    </w:div>
    <w:div w:id="70466647">
      <w:marLeft w:val="0"/>
      <w:marRight w:val="0"/>
      <w:marTop w:val="0"/>
      <w:marBottom w:val="0"/>
      <w:divBdr>
        <w:top w:val="none" w:sz="0" w:space="0" w:color="auto"/>
        <w:left w:val="none" w:sz="0" w:space="0" w:color="auto"/>
        <w:bottom w:val="none" w:sz="0" w:space="0" w:color="auto"/>
        <w:right w:val="none" w:sz="0" w:space="0" w:color="auto"/>
      </w:divBdr>
    </w:div>
    <w:div w:id="70466648">
      <w:marLeft w:val="0"/>
      <w:marRight w:val="0"/>
      <w:marTop w:val="0"/>
      <w:marBottom w:val="0"/>
      <w:divBdr>
        <w:top w:val="none" w:sz="0" w:space="0" w:color="auto"/>
        <w:left w:val="none" w:sz="0" w:space="0" w:color="auto"/>
        <w:bottom w:val="none" w:sz="0" w:space="0" w:color="auto"/>
        <w:right w:val="none" w:sz="0" w:space="0" w:color="auto"/>
      </w:divBdr>
    </w:div>
    <w:div w:id="70466649">
      <w:marLeft w:val="0"/>
      <w:marRight w:val="0"/>
      <w:marTop w:val="0"/>
      <w:marBottom w:val="0"/>
      <w:divBdr>
        <w:top w:val="none" w:sz="0" w:space="0" w:color="auto"/>
        <w:left w:val="none" w:sz="0" w:space="0" w:color="auto"/>
        <w:bottom w:val="none" w:sz="0" w:space="0" w:color="auto"/>
        <w:right w:val="none" w:sz="0" w:space="0" w:color="auto"/>
      </w:divBdr>
    </w:div>
    <w:div w:id="70466650">
      <w:marLeft w:val="0"/>
      <w:marRight w:val="0"/>
      <w:marTop w:val="0"/>
      <w:marBottom w:val="0"/>
      <w:divBdr>
        <w:top w:val="none" w:sz="0" w:space="0" w:color="auto"/>
        <w:left w:val="none" w:sz="0" w:space="0" w:color="auto"/>
        <w:bottom w:val="none" w:sz="0" w:space="0" w:color="auto"/>
        <w:right w:val="none" w:sz="0" w:space="0" w:color="auto"/>
      </w:divBdr>
    </w:div>
    <w:div w:id="70466651">
      <w:marLeft w:val="0"/>
      <w:marRight w:val="0"/>
      <w:marTop w:val="0"/>
      <w:marBottom w:val="0"/>
      <w:divBdr>
        <w:top w:val="none" w:sz="0" w:space="0" w:color="auto"/>
        <w:left w:val="none" w:sz="0" w:space="0" w:color="auto"/>
        <w:bottom w:val="none" w:sz="0" w:space="0" w:color="auto"/>
        <w:right w:val="none" w:sz="0" w:space="0" w:color="auto"/>
      </w:divBdr>
    </w:div>
    <w:div w:id="70466652">
      <w:marLeft w:val="0"/>
      <w:marRight w:val="0"/>
      <w:marTop w:val="0"/>
      <w:marBottom w:val="0"/>
      <w:divBdr>
        <w:top w:val="none" w:sz="0" w:space="0" w:color="auto"/>
        <w:left w:val="none" w:sz="0" w:space="0" w:color="auto"/>
        <w:bottom w:val="none" w:sz="0" w:space="0" w:color="auto"/>
        <w:right w:val="none" w:sz="0" w:space="0" w:color="auto"/>
      </w:divBdr>
    </w:div>
    <w:div w:id="70466653">
      <w:marLeft w:val="0"/>
      <w:marRight w:val="0"/>
      <w:marTop w:val="0"/>
      <w:marBottom w:val="0"/>
      <w:divBdr>
        <w:top w:val="none" w:sz="0" w:space="0" w:color="auto"/>
        <w:left w:val="none" w:sz="0" w:space="0" w:color="auto"/>
        <w:bottom w:val="none" w:sz="0" w:space="0" w:color="auto"/>
        <w:right w:val="none" w:sz="0" w:space="0" w:color="auto"/>
      </w:divBdr>
    </w:div>
    <w:div w:id="70466654">
      <w:marLeft w:val="0"/>
      <w:marRight w:val="0"/>
      <w:marTop w:val="0"/>
      <w:marBottom w:val="0"/>
      <w:divBdr>
        <w:top w:val="none" w:sz="0" w:space="0" w:color="auto"/>
        <w:left w:val="none" w:sz="0" w:space="0" w:color="auto"/>
        <w:bottom w:val="none" w:sz="0" w:space="0" w:color="auto"/>
        <w:right w:val="none" w:sz="0" w:space="0" w:color="auto"/>
      </w:divBdr>
    </w:div>
    <w:div w:id="70466655">
      <w:marLeft w:val="0"/>
      <w:marRight w:val="0"/>
      <w:marTop w:val="0"/>
      <w:marBottom w:val="0"/>
      <w:divBdr>
        <w:top w:val="none" w:sz="0" w:space="0" w:color="auto"/>
        <w:left w:val="none" w:sz="0" w:space="0" w:color="auto"/>
        <w:bottom w:val="none" w:sz="0" w:space="0" w:color="auto"/>
        <w:right w:val="none" w:sz="0" w:space="0" w:color="auto"/>
      </w:divBdr>
    </w:div>
    <w:div w:id="14801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Διακύμανση του αριθμού των ανέργων </a:t>
            </a:r>
            <a:endParaRPr lang="en-US"/>
          </a:p>
          <a:p>
            <a:pPr>
              <a:defRPr/>
            </a:pPr>
            <a:r>
              <a:rPr lang="el-GR"/>
              <a:t>(σύνολο και κατά φύλο) τους τελευταίους 12 μήνες </a:t>
            </a:r>
            <a:endParaRPr lang="en-US"/>
          </a:p>
        </c:rich>
      </c:tx>
      <c:layout>
        <c:manualLayout>
          <c:xMode val="edge"/>
          <c:yMode val="edge"/>
          <c:x val="0.19477272727272718"/>
          <c:y val="0"/>
        </c:manualLayout>
      </c:layout>
      <c:overlay val="1"/>
    </c:title>
    <c:autoTitleDeleted val="0"/>
    <c:plotArea>
      <c:layout>
        <c:manualLayout>
          <c:layoutTarget val="inner"/>
          <c:xMode val="edge"/>
          <c:yMode val="edge"/>
          <c:x val="0.13802857976086322"/>
          <c:y val="0.17228464419475656"/>
          <c:w val="0.66662564401672131"/>
          <c:h val="0.4673847651066097"/>
        </c:manualLayout>
      </c:layout>
      <c:lineChart>
        <c:grouping val="standard"/>
        <c:varyColors val="0"/>
        <c:ser>
          <c:idx val="2"/>
          <c:order val="0"/>
          <c:tx>
            <c:strRef>
              <c:f>'total and gender '!$D$1</c:f>
              <c:strCache>
                <c:ptCount val="1"/>
                <c:pt idx="0">
                  <c:v>Άντρες</c:v>
                </c:pt>
              </c:strCache>
            </c:strRef>
          </c:tx>
          <c:cat>
            <c:multiLvlStrRef>
              <c:f>'total and gender '!$A$38:$B$50</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'total and gender '!$D$38:$D$50</c:f>
              <c:numCache>
                <c:formatCode>General</c:formatCode>
                <c:ptCount val="13"/>
                <c:pt idx="0">
                  <c:v>25915</c:v>
                </c:pt>
                <c:pt idx="1">
                  <c:v>26127</c:v>
                </c:pt>
                <c:pt idx="2">
                  <c:v>24815</c:v>
                </c:pt>
                <c:pt idx="3">
                  <c:v>22210</c:v>
                </c:pt>
                <c:pt idx="4">
                  <c:v>20724</c:v>
                </c:pt>
                <c:pt idx="5">
                  <c:v>20288</c:v>
                </c:pt>
                <c:pt idx="6">
                  <c:v>20295</c:v>
                </c:pt>
                <c:pt idx="7">
                  <c:v>19737</c:v>
                </c:pt>
                <c:pt idx="8">
                  <c:v>19379</c:v>
                </c:pt>
                <c:pt idx="9">
                  <c:v>19032</c:v>
                </c:pt>
                <c:pt idx="10">
                  <c:v>21869</c:v>
                </c:pt>
                <c:pt idx="11">
                  <c:v>22617</c:v>
                </c:pt>
                <c:pt idx="12">
                  <c:v>23384</c:v>
                </c:pt>
              </c:numCache>
            </c:numRef>
          </c:val>
          <c:smooth val="0"/>
        </c:ser>
        <c:ser>
          <c:idx val="1"/>
          <c:order val="1"/>
          <c:tx>
            <c:strRef>
              <c:f>'total and gender '!$E$1</c:f>
              <c:strCache>
                <c:ptCount val="1"/>
                <c:pt idx="0">
                  <c:v>Γυναίκες</c:v>
                </c:pt>
              </c:strCache>
            </c:strRef>
          </c:tx>
          <c:spPr>
            <a:ln>
              <a:gradFill>
                <a:gsLst>
                  <a:gs pos="0">
                    <a:srgbClr val="000082"/>
                  </a:gs>
                  <a:gs pos="30000">
                    <a:srgbClr val="66008F"/>
                  </a:gs>
                  <a:gs pos="64999">
                    <a:srgbClr val="BA0066"/>
                  </a:gs>
                  <a:gs pos="89999">
                    <a:srgbClr val="FF0000"/>
                  </a:gs>
                  <a:gs pos="100000">
                    <a:srgbClr val="FF8200"/>
                  </a:gs>
                </a:gsLst>
                <a:lin ang="5400000" scaled="0"/>
              </a:gradFill>
            </a:ln>
          </c:spPr>
          <c:cat>
            <c:multiLvlStrRef>
              <c:f>'total and gender '!$A$38:$B$50</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'total and gender '!$E$38:$E$50</c:f>
              <c:numCache>
                <c:formatCode>General</c:formatCode>
                <c:ptCount val="13"/>
                <c:pt idx="0">
                  <c:v>24124</c:v>
                </c:pt>
                <c:pt idx="1">
                  <c:v>24113</c:v>
                </c:pt>
                <c:pt idx="2">
                  <c:v>23018</c:v>
                </c:pt>
                <c:pt idx="3">
                  <c:v>20341</c:v>
                </c:pt>
                <c:pt idx="4">
                  <c:v>18948</c:v>
                </c:pt>
                <c:pt idx="5">
                  <c:v>20588</c:v>
                </c:pt>
                <c:pt idx="6">
                  <c:v>21881</c:v>
                </c:pt>
                <c:pt idx="7">
                  <c:v>21251</c:v>
                </c:pt>
                <c:pt idx="8">
                  <c:v>18986</c:v>
                </c:pt>
                <c:pt idx="9">
                  <c:v>17984</c:v>
                </c:pt>
                <c:pt idx="10">
                  <c:v>21733</c:v>
                </c:pt>
                <c:pt idx="11">
                  <c:v>21933</c:v>
                </c:pt>
                <c:pt idx="12">
                  <c:v>22585</c:v>
                </c:pt>
              </c:numCache>
            </c:numRef>
          </c:val>
          <c:smooth val="0"/>
        </c:ser>
        <c:ser>
          <c:idx val="0"/>
          <c:order val="2"/>
          <c:tx>
            <c:strRef>
              <c:f>'total and gender '!$C$1</c:f>
              <c:strCache>
                <c:ptCount val="1"/>
                <c:pt idx="0">
                  <c:v>Σύνολο</c:v>
                </c:pt>
              </c:strCache>
            </c:strRef>
          </c:tx>
          <c:cat>
            <c:multiLvlStrRef>
              <c:f>'total and gender '!$A$38:$B$50</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'total and gender '!$C$38:$C$50</c:f>
              <c:numCache>
                <c:formatCode>#,##0</c:formatCode>
                <c:ptCount val="13"/>
                <c:pt idx="0">
                  <c:v>50039</c:v>
                </c:pt>
                <c:pt idx="1">
                  <c:v>50240</c:v>
                </c:pt>
                <c:pt idx="2">
                  <c:v>47833</c:v>
                </c:pt>
                <c:pt idx="3">
                  <c:v>42551</c:v>
                </c:pt>
                <c:pt idx="4">
                  <c:v>39672</c:v>
                </c:pt>
                <c:pt idx="5">
                  <c:v>40876</c:v>
                </c:pt>
                <c:pt idx="6">
                  <c:v>42176</c:v>
                </c:pt>
                <c:pt idx="7">
                  <c:v>40988</c:v>
                </c:pt>
                <c:pt idx="8">
                  <c:v>38365</c:v>
                </c:pt>
                <c:pt idx="9">
                  <c:v>37016</c:v>
                </c:pt>
                <c:pt idx="10">
                  <c:v>43602</c:v>
                </c:pt>
                <c:pt idx="11">
                  <c:v>44550</c:v>
                </c:pt>
                <c:pt idx="12">
                  <c:v>45969</c:v>
                </c:pt>
              </c:numCache>
            </c:numRef>
          </c:val>
          <c:smooth val="0"/>
        </c:ser>
        <c:dLbls>
          <c:showLegendKey val="0"/>
          <c:showVal val="0"/>
          <c:showCatName val="0"/>
          <c:showSerName val="0"/>
          <c:showPercent val="0"/>
          <c:showBubbleSize val="0"/>
        </c:dLbls>
        <c:marker val="1"/>
        <c:smooth val="0"/>
        <c:axId val="223536640"/>
        <c:axId val="223538560"/>
      </c:lineChart>
      <c:catAx>
        <c:axId val="223536640"/>
        <c:scaling>
          <c:orientation val="minMax"/>
        </c:scaling>
        <c:delete val="0"/>
        <c:axPos val="b"/>
        <c:majorTickMark val="out"/>
        <c:minorTickMark val="none"/>
        <c:tickLblPos val="nextTo"/>
        <c:crossAx val="223538560"/>
        <c:crosses val="autoZero"/>
        <c:auto val="1"/>
        <c:lblAlgn val="ctr"/>
        <c:lblOffset val="100"/>
        <c:noMultiLvlLbl val="0"/>
      </c:catAx>
      <c:valAx>
        <c:axId val="223538560"/>
        <c:scaling>
          <c:orientation val="minMax"/>
          <c:max val="55000"/>
          <c:min val="15000"/>
        </c:scaling>
        <c:delete val="0"/>
        <c:axPos val="l"/>
        <c:majorGridlines/>
        <c:numFmt formatCode="General" sourceLinked="1"/>
        <c:majorTickMark val="out"/>
        <c:minorTickMark val="none"/>
        <c:tickLblPos val="nextTo"/>
        <c:crossAx val="223536640"/>
        <c:crosses val="autoZero"/>
        <c:crossBetween val="between"/>
        <c:majorUnit val="5000"/>
      </c:valAx>
    </c:plotArea>
    <c:legend>
      <c:legendPos val="r"/>
      <c:overlay val="0"/>
    </c:legend>
    <c:plotVisOnly val="1"/>
    <c:dispBlanksAs val="gap"/>
    <c:showDLblsOverMax val="0"/>
  </c:chart>
  <c:txPr>
    <a:bodyPr/>
    <a:lstStyle/>
    <a:p>
      <a:pPr>
        <a:defRPr sz="900"/>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επαρχία τους τελευταίους 12 μήνες </a:t>
            </a:r>
            <a:endParaRPr lang="el-GR"/>
          </a:p>
        </c:rich>
      </c:tx>
      <c:layout>
        <c:manualLayout>
          <c:xMode val="edge"/>
          <c:yMode val="edge"/>
          <c:x val="0.21978021978021994"/>
          <c:y val="3.7037037037037056E-2"/>
        </c:manualLayout>
      </c:layout>
      <c:overlay val="0"/>
      <c:spPr>
        <a:noFill/>
        <a:ln w="25400">
          <a:noFill/>
        </a:ln>
      </c:spPr>
    </c:title>
    <c:autoTitleDeleted val="0"/>
    <c:plotArea>
      <c:layout>
        <c:manualLayout>
          <c:layoutTarget val="inner"/>
          <c:xMode val="edge"/>
          <c:yMode val="edge"/>
          <c:x val="0.10597322444986022"/>
          <c:y val="0.20538788072088304"/>
          <c:w val="0.59589766663782462"/>
          <c:h val="0.30935426001043392"/>
        </c:manualLayout>
      </c:layout>
      <c:lineChart>
        <c:grouping val="standard"/>
        <c:varyColors val="0"/>
        <c:ser>
          <c:idx val="0"/>
          <c:order val="0"/>
          <c:tx>
            <c:strRef>
              <c:f>'επαρχία '!$A$3</c:f>
              <c:strCache>
                <c:ptCount val="1"/>
                <c:pt idx="0">
                  <c:v>ΛΕΥΚΩΣΙΑ</c:v>
                </c:pt>
              </c:strCache>
            </c:strRef>
          </c:tx>
          <c:spPr>
            <a:ln>
              <a:prstDash val="sysDot"/>
            </a:ln>
          </c:spPr>
          <c:marker>
            <c:symbol val="none"/>
          </c:marker>
          <c:cat>
            <c:multiLvlStrRef>
              <c:f>'επαρχία '!$N$1:$AB$2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'επαρχία '!$N$3:$AB$3</c:f>
              <c:numCache>
                <c:formatCode>General</c:formatCode>
                <c:ptCount val="13"/>
                <c:pt idx="0">
                  <c:v>14385</c:v>
                </c:pt>
                <c:pt idx="1">
                  <c:v>14486</c:v>
                </c:pt>
                <c:pt idx="2">
                  <c:v>14025</c:v>
                </c:pt>
                <c:pt idx="3">
                  <c:v>13601</c:v>
                </c:pt>
                <c:pt idx="4">
                  <c:v>13603</c:v>
                </c:pt>
                <c:pt idx="5">
                  <c:v>14270</c:v>
                </c:pt>
                <c:pt idx="6">
                  <c:v>15060</c:v>
                </c:pt>
                <c:pt idx="7">
                  <c:v>14873</c:v>
                </c:pt>
                <c:pt idx="8">
                  <c:v>13839</c:v>
                </c:pt>
                <c:pt idx="9">
                  <c:v>12796</c:v>
                </c:pt>
                <c:pt idx="10">
                  <c:v>12625</c:v>
                </c:pt>
                <c:pt idx="11">
                  <c:v>12332</c:v>
                </c:pt>
                <c:pt idx="12">
                  <c:v>12472</c:v>
                </c:pt>
              </c:numCache>
            </c:numRef>
          </c:val>
          <c:smooth val="0"/>
        </c:ser>
        <c:ser>
          <c:idx val="1"/>
          <c:order val="1"/>
          <c:tx>
            <c:strRef>
              <c:f>'επαρχία '!$A$4</c:f>
              <c:strCache>
                <c:ptCount val="1"/>
                <c:pt idx="0">
                  <c:v>ΑΜΜΟΧΩΣΤΟΣ</c:v>
                </c:pt>
              </c:strCache>
            </c:strRef>
          </c:tx>
          <c:spPr>
            <a:ln>
              <a:prstDash val="sysDash"/>
            </a:ln>
          </c:spPr>
          <c:marker>
            <c:symbol val="none"/>
          </c:marker>
          <c:cat>
            <c:multiLvlStrRef>
              <c:f>'επαρχία '!$N$1:$AB$2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'επαρχία '!$N$4:$AB$4</c:f>
              <c:numCache>
                <c:formatCode>General</c:formatCode>
                <c:ptCount val="13"/>
                <c:pt idx="0">
                  <c:v>6217</c:v>
                </c:pt>
                <c:pt idx="1">
                  <c:v>6249</c:v>
                </c:pt>
                <c:pt idx="2">
                  <c:v>5577</c:v>
                </c:pt>
                <c:pt idx="3">
                  <c:v>3322</c:v>
                </c:pt>
                <c:pt idx="4">
                  <c:v>1798</c:v>
                </c:pt>
                <c:pt idx="5">
                  <c:v>1631</c:v>
                </c:pt>
                <c:pt idx="6">
                  <c:v>1649</c:v>
                </c:pt>
                <c:pt idx="7">
                  <c:v>1549</c:v>
                </c:pt>
                <c:pt idx="8">
                  <c:v>1405</c:v>
                </c:pt>
                <c:pt idx="9">
                  <c:v>1640</c:v>
                </c:pt>
                <c:pt idx="10">
                  <c:v>5410</c:v>
                </c:pt>
                <c:pt idx="11">
                  <c:v>5948</c:v>
                </c:pt>
                <c:pt idx="12">
                  <c:v>6139</c:v>
                </c:pt>
              </c:numCache>
            </c:numRef>
          </c:val>
          <c:smooth val="0"/>
        </c:ser>
        <c:ser>
          <c:idx val="2"/>
          <c:order val="2"/>
          <c:tx>
            <c:strRef>
              <c:f>'επαρχία '!$A$5</c:f>
              <c:strCache>
                <c:ptCount val="1"/>
                <c:pt idx="0">
                  <c:v>ΛΑΡΝΑΚΑ</c:v>
                </c:pt>
              </c:strCache>
            </c:strRef>
          </c:tx>
          <c:spPr>
            <a:ln>
              <a:prstDash val="dash"/>
            </a:ln>
          </c:spPr>
          <c:marker>
            <c:symbol val="none"/>
          </c:marker>
          <c:cat>
            <c:multiLvlStrRef>
              <c:f>'επαρχία '!$N$1:$AB$2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'επαρχία '!$N$5:$AB$5</c:f>
              <c:numCache>
                <c:formatCode>General</c:formatCode>
                <c:ptCount val="13"/>
                <c:pt idx="0">
                  <c:v>9843</c:v>
                </c:pt>
                <c:pt idx="1">
                  <c:v>9865</c:v>
                </c:pt>
                <c:pt idx="2">
                  <c:v>9490</c:v>
                </c:pt>
                <c:pt idx="3">
                  <c:v>8468</c:v>
                </c:pt>
                <c:pt idx="4">
                  <c:v>7808</c:v>
                </c:pt>
                <c:pt idx="5">
                  <c:v>8035</c:v>
                </c:pt>
                <c:pt idx="6">
                  <c:v>8048</c:v>
                </c:pt>
                <c:pt idx="7">
                  <c:v>7784</c:v>
                </c:pt>
                <c:pt idx="8">
                  <c:v>7356</c:v>
                </c:pt>
                <c:pt idx="9">
                  <c:v>7138</c:v>
                </c:pt>
                <c:pt idx="10">
                  <c:v>8370</c:v>
                </c:pt>
                <c:pt idx="11">
                  <c:v>8594</c:v>
                </c:pt>
                <c:pt idx="12">
                  <c:v>8868</c:v>
                </c:pt>
              </c:numCache>
            </c:numRef>
          </c:val>
          <c:smooth val="0"/>
        </c:ser>
        <c:ser>
          <c:idx val="3"/>
          <c:order val="3"/>
          <c:tx>
            <c:strRef>
              <c:f>'επαρχία '!$A$6</c:f>
              <c:strCache>
                <c:ptCount val="1"/>
                <c:pt idx="0">
                  <c:v>ΛΕΜΕΣΟΣ</c:v>
                </c:pt>
              </c:strCache>
            </c:strRef>
          </c:tx>
          <c:marker>
            <c:symbol val="none"/>
          </c:marker>
          <c:cat>
            <c:multiLvlStrRef>
              <c:f>'επαρχία '!$N$1:$AB$2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'επαρχία '!$N$6:$AB$6</c:f>
              <c:numCache>
                <c:formatCode>General</c:formatCode>
                <c:ptCount val="13"/>
                <c:pt idx="0">
                  <c:v>12621</c:v>
                </c:pt>
                <c:pt idx="1">
                  <c:v>12667</c:v>
                </c:pt>
                <c:pt idx="2">
                  <c:v>12319</c:v>
                </c:pt>
                <c:pt idx="3">
                  <c:v>11824</c:v>
                </c:pt>
                <c:pt idx="4">
                  <c:v>11763</c:v>
                </c:pt>
                <c:pt idx="5">
                  <c:v>12391</c:v>
                </c:pt>
                <c:pt idx="6">
                  <c:v>12962</c:v>
                </c:pt>
                <c:pt idx="7">
                  <c:v>12435</c:v>
                </c:pt>
                <c:pt idx="8">
                  <c:v>11625</c:v>
                </c:pt>
                <c:pt idx="9">
                  <c:v>11287</c:v>
                </c:pt>
                <c:pt idx="10">
                  <c:v>11598</c:v>
                </c:pt>
                <c:pt idx="11">
                  <c:v>11291</c:v>
                </c:pt>
                <c:pt idx="12">
                  <c:v>11730</c:v>
                </c:pt>
              </c:numCache>
            </c:numRef>
          </c:val>
          <c:smooth val="0"/>
        </c:ser>
        <c:ser>
          <c:idx val="4"/>
          <c:order val="4"/>
          <c:tx>
            <c:strRef>
              <c:f>'επαρχία '!$A$7</c:f>
              <c:strCache>
                <c:ptCount val="1"/>
                <c:pt idx="0">
                  <c:v>ΠΑΦΟΣ</c:v>
                </c:pt>
              </c:strCache>
            </c:strRef>
          </c:tx>
          <c:spPr>
            <a:ln>
              <a:prstDash val="lgDashDotDot"/>
            </a:ln>
          </c:spPr>
          <c:marker>
            <c:symbol val="none"/>
          </c:marker>
          <c:cat>
            <c:multiLvlStrRef>
              <c:f>'επαρχία '!$N$1:$AB$2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'επαρχία '!$N$7:$AB$7</c:f>
              <c:numCache>
                <c:formatCode>General</c:formatCode>
                <c:ptCount val="13"/>
                <c:pt idx="0">
                  <c:v>6973</c:v>
                </c:pt>
                <c:pt idx="1">
                  <c:v>6973</c:v>
                </c:pt>
                <c:pt idx="2">
                  <c:v>6422</c:v>
                </c:pt>
                <c:pt idx="3">
                  <c:v>5336</c:v>
                </c:pt>
                <c:pt idx="4">
                  <c:v>4700</c:v>
                </c:pt>
                <c:pt idx="5">
                  <c:v>4548</c:v>
                </c:pt>
                <c:pt idx="6">
                  <c:v>4457</c:v>
                </c:pt>
                <c:pt idx="7">
                  <c:v>4347</c:v>
                </c:pt>
                <c:pt idx="8">
                  <c:v>4140</c:v>
                </c:pt>
                <c:pt idx="9">
                  <c:v>4155</c:v>
                </c:pt>
                <c:pt idx="10">
                  <c:v>5599</c:v>
                </c:pt>
                <c:pt idx="11">
                  <c:v>6385</c:v>
                </c:pt>
                <c:pt idx="12">
                  <c:v>6760</c:v>
                </c:pt>
              </c:numCache>
            </c:numRef>
          </c:val>
          <c:smooth val="0"/>
        </c:ser>
        <c:dLbls>
          <c:showLegendKey val="0"/>
          <c:showVal val="0"/>
          <c:showCatName val="0"/>
          <c:showSerName val="0"/>
          <c:showPercent val="0"/>
          <c:showBubbleSize val="0"/>
        </c:dLbls>
        <c:marker val="1"/>
        <c:smooth val="0"/>
        <c:axId val="233613952"/>
        <c:axId val="235291008"/>
      </c:lineChart>
      <c:catAx>
        <c:axId val="233613952"/>
        <c:scaling>
          <c:orientation val="minMax"/>
        </c:scaling>
        <c:delete val="0"/>
        <c:axPos val="b"/>
        <c:numFmt formatCode="General" sourceLinked="1"/>
        <c:majorTickMark val="none"/>
        <c:minorTickMark val="none"/>
        <c:tickLblPos val="nextTo"/>
        <c:txPr>
          <a:bodyPr rot="-5400000" vert="horz"/>
          <a:lstStyle/>
          <a:p>
            <a:pPr>
              <a:defRPr lang="el-GR" sz="900" b="0" i="0" u="none" strike="noStrike" baseline="0">
                <a:solidFill>
                  <a:srgbClr val="000000"/>
                </a:solidFill>
                <a:latin typeface="Calibri"/>
                <a:ea typeface="Calibri"/>
                <a:cs typeface="Calibri"/>
              </a:defRPr>
            </a:pPr>
            <a:endParaRPr lang="el-GR"/>
          </a:p>
        </c:txPr>
        <c:crossAx val="235291008"/>
        <c:crosses val="autoZero"/>
        <c:auto val="1"/>
        <c:lblAlgn val="ctr"/>
        <c:lblOffset val="100"/>
        <c:noMultiLvlLbl val="0"/>
      </c:catAx>
      <c:valAx>
        <c:axId val="235291008"/>
        <c:scaling>
          <c:orientation val="minMax"/>
          <c:min val="0"/>
        </c:scaling>
        <c:delete val="0"/>
        <c:axPos val="l"/>
        <c:majorGridlines/>
        <c:numFmt formatCode="General"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l-GR"/>
          </a:p>
        </c:txPr>
        <c:crossAx val="233613952"/>
        <c:crosses val="autoZero"/>
        <c:crossBetween val="between"/>
        <c:majorUnit val="5000"/>
      </c:valAx>
    </c:plotArea>
    <c:legend>
      <c:legendPos val="r"/>
      <c:layout>
        <c:manualLayout>
          <c:xMode val="edge"/>
          <c:yMode val="edge"/>
          <c:x val="0.72087917577105687"/>
          <c:y val="0.23211969516047826"/>
          <c:w val="0.27032967032967908"/>
          <c:h val="0.52525252525251742"/>
        </c:manualLayout>
      </c:layout>
      <c:overlay val="0"/>
      <c:txPr>
        <a:bodyPr/>
        <a:lstStyle/>
        <a:p>
          <a:pPr>
            <a:defRPr lang="el-GR" sz="920" b="0" i="0" u="none" strike="noStrike" baseline="0">
              <a:solidFill>
                <a:srgbClr val="000000"/>
              </a:solidFill>
              <a:latin typeface="Calibri"/>
              <a:ea typeface="Calibri"/>
              <a:cs typeface="Calibri"/>
            </a:defRPr>
          </a:pPr>
          <a:endParaRPr lang="el-G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 </a:t>
            </a:r>
          </a:p>
          <a:p>
            <a:pPr>
              <a:defRPr lang="el-GR" sz="1200"/>
            </a:pPr>
            <a:r>
              <a:rPr lang="el-GR" sz="1200"/>
              <a:t>κατά οικονομική δραστηριότητα τους τελευταίους 12 μήνες </a:t>
            </a:r>
          </a:p>
        </c:rich>
      </c:tx>
      <c:layout>
        <c:manualLayout>
          <c:xMode val="edge"/>
          <c:yMode val="edge"/>
          <c:x val="0.1480770621216404"/>
          <c:y val="3.3232677422638419E-2"/>
        </c:manualLayout>
      </c:layout>
      <c:overlay val="0"/>
      <c:spPr>
        <a:noFill/>
        <a:ln w="25400">
          <a:noFill/>
        </a:ln>
      </c:spPr>
    </c:title>
    <c:autoTitleDeleted val="0"/>
    <c:plotArea>
      <c:layout>
        <c:manualLayout>
          <c:layoutTarget val="inner"/>
          <c:xMode val="edge"/>
          <c:yMode val="edge"/>
          <c:x val="0.12371815061578842"/>
          <c:y val="0.23867132922584067"/>
          <c:w val="0.59423137492428757"/>
          <c:h val="0.36253808153134937"/>
        </c:manualLayout>
      </c:layout>
      <c:lineChart>
        <c:grouping val="standard"/>
        <c:varyColors val="0"/>
        <c:ser>
          <c:idx val="2"/>
          <c:order val="0"/>
          <c:tx>
            <c:strRef>
              <c:f>'οικονομική '!$C$9</c:f>
              <c:strCache>
                <c:ptCount val="1"/>
                <c:pt idx="0">
                  <c:v>ΕΜΠΟΡΙΟ</c:v>
                </c:pt>
              </c:strCache>
            </c:strRef>
          </c:tx>
          <c:spPr>
            <a:ln>
              <a:prstDash val="dash"/>
            </a:ln>
          </c:spPr>
          <c:marker>
            <c:symbol val="none"/>
          </c:marker>
          <c:cat>
            <c:multiLvlStrRef>
              <c:f>'οικονομική '!$AB$1:$AN$2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'οικονομική '!$AB$9:$AN$9</c:f>
              <c:numCache>
                <c:formatCode>General</c:formatCode>
                <c:ptCount val="13"/>
                <c:pt idx="0">
                  <c:v>8213</c:v>
                </c:pt>
                <c:pt idx="1">
                  <c:v>8342</c:v>
                </c:pt>
                <c:pt idx="2">
                  <c:v>8111</c:v>
                </c:pt>
                <c:pt idx="3">
                  <c:v>7679</c:v>
                </c:pt>
                <c:pt idx="4">
                  <c:v>7447</c:v>
                </c:pt>
                <c:pt idx="5">
                  <c:v>7284</c:v>
                </c:pt>
                <c:pt idx="6">
                  <c:v>7230</c:v>
                </c:pt>
                <c:pt idx="7">
                  <c:v>7061</c:v>
                </c:pt>
                <c:pt idx="8">
                  <c:v>7089</c:v>
                </c:pt>
                <c:pt idx="9">
                  <c:v>7066</c:v>
                </c:pt>
                <c:pt idx="10">
                  <c:v>7511</c:v>
                </c:pt>
                <c:pt idx="11">
                  <c:v>7323</c:v>
                </c:pt>
                <c:pt idx="12">
                  <c:v>7619</c:v>
                </c:pt>
              </c:numCache>
            </c:numRef>
          </c:val>
          <c:smooth val="0"/>
        </c:ser>
        <c:ser>
          <c:idx val="3"/>
          <c:order val="1"/>
          <c:tx>
            <c:strRef>
              <c:f>'οικονομική '!$C$11</c:f>
              <c:strCache>
                <c:ptCount val="1"/>
                <c:pt idx="0">
                  <c:v>ΞΕΝΟΔΟΧΕΙΑ</c:v>
                </c:pt>
              </c:strCache>
            </c:strRef>
          </c:tx>
          <c:spPr>
            <a:ln cap="sq">
              <a:prstDash val="sysDot"/>
            </a:ln>
          </c:spPr>
          <c:marker>
            <c:symbol val="none"/>
          </c:marker>
          <c:cat>
            <c:multiLvlStrRef>
              <c:f>'οικονομική '!$AB$1:$AN$2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'οικονομική '!$AB$11:$AN$11</c:f>
              <c:numCache>
                <c:formatCode>General</c:formatCode>
                <c:ptCount val="13"/>
                <c:pt idx="0">
                  <c:v>10771</c:v>
                </c:pt>
                <c:pt idx="1">
                  <c:v>10743</c:v>
                </c:pt>
                <c:pt idx="2">
                  <c:v>9513</c:v>
                </c:pt>
                <c:pt idx="3">
                  <c:v>6566</c:v>
                </c:pt>
                <c:pt idx="4">
                  <c:v>4650</c:v>
                </c:pt>
                <c:pt idx="5">
                  <c:v>4183</c:v>
                </c:pt>
                <c:pt idx="6">
                  <c:v>4011</c:v>
                </c:pt>
                <c:pt idx="7">
                  <c:v>3840</c:v>
                </c:pt>
                <c:pt idx="8">
                  <c:v>3880</c:v>
                </c:pt>
                <c:pt idx="9">
                  <c:v>4220</c:v>
                </c:pt>
                <c:pt idx="10">
                  <c:v>9454</c:v>
                </c:pt>
                <c:pt idx="11">
                  <c:v>10417</c:v>
                </c:pt>
                <c:pt idx="12">
                  <c:v>10737</c:v>
                </c:pt>
              </c:numCache>
            </c:numRef>
          </c:val>
          <c:smooth val="0"/>
        </c:ser>
        <c:ser>
          <c:idx val="4"/>
          <c:order val="2"/>
          <c:tx>
            <c:strRef>
              <c:f>'οικονομική '!$C$15</c:f>
              <c:strCache>
                <c:ptCount val="1"/>
                <c:pt idx="0">
                  <c:v>ΔΗΜΟΣΙΑ ΔΙΟΙΚ</c:v>
                </c:pt>
              </c:strCache>
            </c:strRef>
          </c:tx>
          <c:spPr>
            <a:ln cap="sq">
              <a:prstDash val="lgDashDotDot"/>
            </a:ln>
          </c:spPr>
          <c:marker>
            <c:symbol val="none"/>
          </c:marker>
          <c:cat>
            <c:multiLvlStrRef>
              <c:f>'οικονομική '!$AB$1:$AN$2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'οικονομική '!$AB$15:$AN$15</c:f>
              <c:numCache>
                <c:formatCode>General</c:formatCode>
                <c:ptCount val="13"/>
                <c:pt idx="0">
                  <c:v>5870</c:v>
                </c:pt>
                <c:pt idx="1">
                  <c:v>5885</c:v>
                </c:pt>
                <c:pt idx="2">
                  <c:v>5432</c:v>
                </c:pt>
                <c:pt idx="3">
                  <c:v>4780</c:v>
                </c:pt>
                <c:pt idx="4">
                  <c:v>4395</c:v>
                </c:pt>
                <c:pt idx="5">
                  <c:v>4807</c:v>
                </c:pt>
                <c:pt idx="6">
                  <c:v>4990</c:v>
                </c:pt>
                <c:pt idx="7">
                  <c:v>4809</c:v>
                </c:pt>
                <c:pt idx="8">
                  <c:v>3925</c:v>
                </c:pt>
                <c:pt idx="9">
                  <c:v>3307</c:v>
                </c:pt>
                <c:pt idx="10">
                  <c:v>3547</c:v>
                </c:pt>
                <c:pt idx="11">
                  <c:v>4423</c:v>
                </c:pt>
                <c:pt idx="12">
                  <c:v>4861</c:v>
                </c:pt>
              </c:numCache>
            </c:numRef>
          </c:val>
          <c:smooth val="0"/>
        </c:ser>
        <c:dLbls>
          <c:showLegendKey val="0"/>
          <c:showVal val="0"/>
          <c:showCatName val="0"/>
          <c:showSerName val="0"/>
          <c:showPercent val="0"/>
          <c:showBubbleSize val="0"/>
        </c:dLbls>
        <c:marker val="1"/>
        <c:smooth val="0"/>
        <c:axId val="194689280"/>
        <c:axId val="194711552"/>
      </c:lineChart>
      <c:catAx>
        <c:axId val="194689280"/>
        <c:scaling>
          <c:orientation val="minMax"/>
        </c:scaling>
        <c:delete val="0"/>
        <c:axPos val="b"/>
        <c:numFmt formatCode="General" sourceLinked="1"/>
        <c:majorTickMark val="none"/>
        <c:minorTickMark val="none"/>
        <c:tickLblPos val="nextTo"/>
        <c:txPr>
          <a:bodyPr rot="-5400000" vert="horz"/>
          <a:lstStyle/>
          <a:p>
            <a:pPr>
              <a:defRPr lang="el-GR"/>
            </a:pPr>
            <a:endParaRPr lang="el-GR"/>
          </a:p>
        </c:txPr>
        <c:crossAx val="194711552"/>
        <c:crosses val="autoZero"/>
        <c:auto val="1"/>
        <c:lblAlgn val="ctr"/>
        <c:lblOffset val="100"/>
        <c:noMultiLvlLbl val="0"/>
      </c:catAx>
      <c:valAx>
        <c:axId val="194711552"/>
        <c:scaling>
          <c:orientation val="minMax"/>
        </c:scaling>
        <c:delete val="0"/>
        <c:axPos val="l"/>
        <c:majorGridlines/>
        <c:numFmt formatCode="General" sourceLinked="1"/>
        <c:majorTickMark val="out"/>
        <c:minorTickMark val="none"/>
        <c:tickLblPos val="nextTo"/>
        <c:txPr>
          <a:bodyPr rot="0" vert="horz"/>
          <a:lstStyle/>
          <a:p>
            <a:pPr>
              <a:defRPr lang="el-GR"/>
            </a:pPr>
            <a:endParaRPr lang="el-GR"/>
          </a:p>
        </c:txPr>
        <c:crossAx val="194689280"/>
        <c:crosses val="autoZero"/>
        <c:crossBetween val="between"/>
        <c:majorUnit val="2000"/>
      </c:valAx>
    </c:plotArea>
    <c:legend>
      <c:legendPos val="r"/>
      <c:layout>
        <c:manualLayout>
          <c:xMode val="edge"/>
          <c:yMode val="edge"/>
          <c:x val="0.73251640986054356"/>
          <c:y val="0.25792999326411747"/>
          <c:w val="0.25192331347967761"/>
          <c:h val="0.36253829915605795"/>
        </c:manualLayout>
      </c:layout>
      <c:overlay val="0"/>
      <c:txPr>
        <a:bodyPr/>
        <a:lstStyle/>
        <a:p>
          <a:pPr>
            <a:defRPr lang="el-GR"/>
          </a:pPr>
          <a:endParaRPr lang="el-GR"/>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ηλικία τους τελευταίους 12 μήνες </a:t>
            </a:r>
            <a:endParaRPr lang="el-GR"/>
          </a:p>
        </c:rich>
      </c:tx>
      <c:layout>
        <c:manualLayout>
          <c:xMode val="edge"/>
          <c:yMode val="edge"/>
          <c:x val="0.24324324324324534"/>
          <c:y val="3.6912751677852351E-2"/>
        </c:manualLayout>
      </c:layout>
      <c:overlay val="0"/>
      <c:spPr>
        <a:noFill/>
        <a:ln w="25400">
          <a:noFill/>
        </a:ln>
      </c:spPr>
    </c:title>
    <c:autoTitleDeleted val="0"/>
    <c:plotArea>
      <c:layout>
        <c:manualLayout>
          <c:layoutTarget val="inner"/>
          <c:xMode val="edge"/>
          <c:yMode val="edge"/>
          <c:x val="0.16331658126933721"/>
          <c:y val="0.209160281139356"/>
          <c:w val="0.65817621421175565"/>
          <c:h val="0.34908411858353777"/>
        </c:manualLayout>
      </c:layout>
      <c:lineChart>
        <c:grouping val="standard"/>
        <c:varyColors val="0"/>
        <c:ser>
          <c:idx val="1"/>
          <c:order val="0"/>
          <c:tx>
            <c:strRef>
              <c:f>'ηλικία '!$A$3</c:f>
              <c:strCache>
                <c:ptCount val="1"/>
                <c:pt idx="0">
                  <c:v>15-24</c:v>
                </c:pt>
              </c:strCache>
            </c:strRef>
          </c:tx>
          <c:cat>
            <c:multiLvlStrRef>
              <c:f>'ηλικία '!$Y$1:$AL$2</c:f>
              <c:multiLvlStrCache>
                <c:ptCount val="14"/>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pt idx="13">
                    <c:v>Ιανουάριος</c:v>
                  </c:pt>
                </c:lvl>
                <c:lvl>
                  <c:pt idx="1">
                    <c:v>2015</c:v>
                  </c:pt>
                  <c:pt idx="13">
                    <c:v>2016</c:v>
                  </c:pt>
                </c:lvl>
              </c:multiLvlStrCache>
            </c:multiLvlStrRef>
          </c:cat>
          <c:val>
            <c:numRef>
              <c:f>'ηλικία '!$Y$3:$AL$3</c:f>
              <c:numCache>
                <c:formatCode>#,##0</c:formatCode>
                <c:ptCount val="14"/>
                <c:pt idx="0">
                  <c:v>4423</c:v>
                </c:pt>
                <c:pt idx="1">
                  <c:v>4713</c:v>
                </c:pt>
                <c:pt idx="2">
                  <c:v>4647</c:v>
                </c:pt>
                <c:pt idx="3">
                  <c:v>4316</c:v>
                </c:pt>
                <c:pt idx="4">
                  <c:v>3668</c:v>
                </c:pt>
                <c:pt idx="5">
                  <c:v>3425</c:v>
                </c:pt>
                <c:pt idx="6">
                  <c:v>3581</c:v>
                </c:pt>
                <c:pt idx="7">
                  <c:v>4123</c:v>
                </c:pt>
                <c:pt idx="8">
                  <c:v>3906</c:v>
                </c:pt>
                <c:pt idx="9">
                  <c:v>3784</c:v>
                </c:pt>
                <c:pt idx="10">
                  <c:v>3567</c:v>
                </c:pt>
                <c:pt idx="11">
                  <c:v>4140</c:v>
                </c:pt>
                <c:pt idx="12">
                  <c:v>3945</c:v>
                </c:pt>
                <c:pt idx="13">
                  <c:v>4078</c:v>
                </c:pt>
              </c:numCache>
            </c:numRef>
          </c:val>
          <c:smooth val="0"/>
        </c:ser>
        <c:ser>
          <c:idx val="2"/>
          <c:order val="1"/>
          <c:tx>
            <c:strRef>
              <c:f>'ηλικία '!$A$4</c:f>
              <c:strCache>
                <c:ptCount val="1"/>
                <c:pt idx="0">
                  <c:v>25-29</c:v>
                </c:pt>
              </c:strCache>
            </c:strRef>
          </c:tx>
          <c:marker>
            <c:symbol val="none"/>
          </c:marker>
          <c:cat>
            <c:multiLvlStrRef>
              <c:f>'ηλικία '!$Y$1:$AL$2</c:f>
              <c:multiLvlStrCache>
                <c:ptCount val="14"/>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pt idx="13">
                    <c:v>Ιανουάριος</c:v>
                  </c:pt>
                </c:lvl>
                <c:lvl>
                  <c:pt idx="1">
                    <c:v>2015</c:v>
                  </c:pt>
                  <c:pt idx="13">
                    <c:v>2016</c:v>
                  </c:pt>
                </c:lvl>
              </c:multiLvlStrCache>
            </c:multiLvlStrRef>
          </c:cat>
          <c:val>
            <c:numRef>
              <c:f>'ηλικία '!$Y$4:$AL$4</c:f>
              <c:numCache>
                <c:formatCode>General</c:formatCode>
                <c:ptCount val="14"/>
                <c:pt idx="0">
                  <c:v>7367</c:v>
                </c:pt>
                <c:pt idx="1">
                  <c:v>7641</c:v>
                </c:pt>
                <c:pt idx="2">
                  <c:v>7723</c:v>
                </c:pt>
                <c:pt idx="3">
                  <c:v>7241</c:v>
                </c:pt>
                <c:pt idx="4">
                  <c:v>6299</c:v>
                </c:pt>
                <c:pt idx="5">
                  <c:v>6055</c:v>
                </c:pt>
                <c:pt idx="6">
                  <c:v>6531</c:v>
                </c:pt>
                <c:pt idx="7">
                  <c:v>6822</c:v>
                </c:pt>
                <c:pt idx="8" formatCode="#,##0">
                  <c:v>6528</c:v>
                </c:pt>
                <c:pt idx="9" formatCode="#,##0">
                  <c:v>6005</c:v>
                </c:pt>
                <c:pt idx="10" formatCode="#,##0">
                  <c:v>5584</c:v>
                </c:pt>
                <c:pt idx="11" formatCode="#,##0">
                  <c:v>6528</c:v>
                </c:pt>
                <c:pt idx="12" formatCode="#,##0">
                  <c:v>6481</c:v>
                </c:pt>
                <c:pt idx="13">
                  <c:v>6699</c:v>
                </c:pt>
              </c:numCache>
            </c:numRef>
          </c:val>
          <c:smooth val="0"/>
        </c:ser>
        <c:ser>
          <c:idx val="3"/>
          <c:order val="2"/>
          <c:tx>
            <c:strRef>
              <c:f>'ηλικία '!$A$5</c:f>
              <c:strCache>
                <c:ptCount val="1"/>
                <c:pt idx="0">
                  <c:v>30-39</c:v>
                </c:pt>
              </c:strCache>
            </c:strRef>
          </c:tx>
          <c:marker>
            <c:symbol val="none"/>
          </c:marker>
          <c:cat>
            <c:multiLvlStrRef>
              <c:f>'ηλικία '!$Y$1:$AL$2</c:f>
              <c:multiLvlStrCache>
                <c:ptCount val="14"/>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pt idx="13">
                    <c:v>Ιανουάριος</c:v>
                  </c:pt>
                </c:lvl>
                <c:lvl>
                  <c:pt idx="1">
                    <c:v>2015</c:v>
                  </c:pt>
                  <c:pt idx="13">
                    <c:v>2016</c:v>
                  </c:pt>
                </c:lvl>
              </c:multiLvlStrCache>
            </c:multiLvlStrRef>
          </c:cat>
          <c:val>
            <c:numRef>
              <c:f>'ηλικία '!$Y$5:$AL$5</c:f>
              <c:numCache>
                <c:formatCode>General</c:formatCode>
                <c:ptCount val="14"/>
                <c:pt idx="0">
                  <c:v>11336</c:v>
                </c:pt>
                <c:pt idx="1">
                  <c:v>11921</c:v>
                </c:pt>
                <c:pt idx="2">
                  <c:v>12028</c:v>
                </c:pt>
                <c:pt idx="3">
                  <c:v>11529</c:v>
                </c:pt>
                <c:pt idx="4">
                  <c:v>10133</c:v>
                </c:pt>
                <c:pt idx="5">
                  <c:v>9434</c:v>
                </c:pt>
                <c:pt idx="6">
                  <c:v>10140</c:v>
                </c:pt>
                <c:pt idx="7">
                  <c:v>10493</c:v>
                </c:pt>
                <c:pt idx="8" formatCode="#,##0">
                  <c:v>10377</c:v>
                </c:pt>
                <c:pt idx="9" formatCode="#,##0">
                  <c:v>9418</c:v>
                </c:pt>
                <c:pt idx="10" formatCode="#,##0">
                  <c:v>8898</c:v>
                </c:pt>
                <c:pt idx="11" formatCode="#,##0">
                  <c:v>10575</c:v>
                </c:pt>
                <c:pt idx="12" formatCode="#,##0">
                  <c:v>10989</c:v>
                </c:pt>
                <c:pt idx="13">
                  <c:v>11464</c:v>
                </c:pt>
              </c:numCache>
            </c:numRef>
          </c:val>
          <c:smooth val="0"/>
        </c:ser>
        <c:ser>
          <c:idx val="4"/>
          <c:order val="3"/>
          <c:tx>
            <c:strRef>
              <c:f>'ηλικία '!$A$6</c:f>
              <c:strCache>
                <c:ptCount val="1"/>
                <c:pt idx="0">
                  <c:v>40-49</c:v>
                </c:pt>
              </c:strCache>
            </c:strRef>
          </c:tx>
          <c:cat>
            <c:multiLvlStrRef>
              <c:f>'ηλικία '!$Y$1:$AL$2</c:f>
              <c:multiLvlStrCache>
                <c:ptCount val="14"/>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pt idx="13">
                    <c:v>Ιανουάριος</c:v>
                  </c:pt>
                </c:lvl>
                <c:lvl>
                  <c:pt idx="1">
                    <c:v>2015</c:v>
                  </c:pt>
                  <c:pt idx="13">
                    <c:v>2016</c:v>
                  </c:pt>
                </c:lvl>
              </c:multiLvlStrCache>
            </c:multiLvlStrRef>
          </c:cat>
          <c:val>
            <c:numRef>
              <c:f>'ηλικία '!$Y$6:$AL$6</c:f>
              <c:numCache>
                <c:formatCode>General</c:formatCode>
                <c:ptCount val="14"/>
                <c:pt idx="0">
                  <c:v>9350</c:v>
                </c:pt>
                <c:pt idx="1">
                  <c:v>9772</c:v>
                </c:pt>
                <c:pt idx="2">
                  <c:v>9747</c:v>
                </c:pt>
                <c:pt idx="3">
                  <c:v>9296</c:v>
                </c:pt>
                <c:pt idx="4">
                  <c:v>8138</c:v>
                </c:pt>
                <c:pt idx="5">
                  <c:v>7357</c:v>
                </c:pt>
                <c:pt idx="6">
                  <c:v>7335</c:v>
                </c:pt>
                <c:pt idx="7">
                  <c:v>7456</c:v>
                </c:pt>
                <c:pt idx="8" formatCode="#,##0">
                  <c:v>7267</c:v>
                </c:pt>
                <c:pt idx="9" formatCode="#,##0">
                  <c:v>6831</c:v>
                </c:pt>
                <c:pt idx="10" formatCode="#,##0">
                  <c:v>6791</c:v>
                </c:pt>
                <c:pt idx="11" formatCode="#,##0">
                  <c:v>8453</c:v>
                </c:pt>
                <c:pt idx="12" formatCode="#,##0">
                  <c:v>8807</c:v>
                </c:pt>
                <c:pt idx="13">
                  <c:v>9083</c:v>
                </c:pt>
              </c:numCache>
            </c:numRef>
          </c:val>
          <c:smooth val="0"/>
        </c:ser>
        <c:ser>
          <c:idx val="0"/>
          <c:order val="4"/>
          <c:tx>
            <c:strRef>
              <c:f>'ηλικία '!$A$7</c:f>
              <c:strCache>
                <c:ptCount val="1"/>
                <c:pt idx="0">
                  <c:v>50-59</c:v>
                </c:pt>
              </c:strCache>
            </c:strRef>
          </c:tx>
          <c:cat>
            <c:multiLvlStrRef>
              <c:f>'ηλικία '!$Y$1:$AL$2</c:f>
              <c:multiLvlStrCache>
                <c:ptCount val="14"/>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pt idx="13">
                    <c:v>Ιανουάριος</c:v>
                  </c:pt>
                </c:lvl>
                <c:lvl>
                  <c:pt idx="1">
                    <c:v>2015</c:v>
                  </c:pt>
                  <c:pt idx="13">
                    <c:v>2016</c:v>
                  </c:pt>
                </c:lvl>
              </c:multiLvlStrCache>
            </c:multiLvlStrRef>
          </c:cat>
          <c:val>
            <c:numRef>
              <c:f>'ηλικία '!$Y$7:$AL$7</c:f>
              <c:numCache>
                <c:formatCode>#,##0</c:formatCode>
                <c:ptCount val="14"/>
                <c:pt idx="0">
                  <c:v>11316</c:v>
                </c:pt>
                <c:pt idx="1">
                  <c:v>11773</c:v>
                </c:pt>
                <c:pt idx="2">
                  <c:v>11804</c:v>
                </c:pt>
                <c:pt idx="3">
                  <c:v>11293</c:v>
                </c:pt>
                <c:pt idx="4">
                  <c:v>10313</c:v>
                </c:pt>
                <c:pt idx="5">
                  <c:v>9524</c:v>
                </c:pt>
                <c:pt idx="6">
                  <c:v>9421</c:v>
                </c:pt>
                <c:pt idx="7">
                  <c:v>9414</c:v>
                </c:pt>
                <c:pt idx="8">
                  <c:v>9134</c:v>
                </c:pt>
                <c:pt idx="9">
                  <c:v>8619</c:v>
                </c:pt>
                <c:pt idx="10">
                  <c:v>8504</c:v>
                </c:pt>
                <c:pt idx="11">
                  <c:v>9940</c:v>
                </c:pt>
                <c:pt idx="12">
                  <c:v>10260</c:v>
                </c:pt>
                <c:pt idx="13">
                  <c:v>10483</c:v>
                </c:pt>
              </c:numCache>
            </c:numRef>
          </c:val>
          <c:smooth val="0"/>
        </c:ser>
        <c:ser>
          <c:idx val="5"/>
          <c:order val="5"/>
          <c:tx>
            <c:strRef>
              <c:f>'ηλικία '!$A$8</c:f>
              <c:strCache>
                <c:ptCount val="1"/>
                <c:pt idx="0">
                  <c:v>60-64</c:v>
                </c:pt>
              </c:strCache>
            </c:strRef>
          </c:tx>
          <c:spPr>
            <a:ln>
              <a:prstDash val="sysDash"/>
            </a:ln>
          </c:spPr>
          <c:marker>
            <c:symbol val="none"/>
          </c:marker>
          <c:cat>
            <c:multiLvlStrRef>
              <c:f>'ηλικία '!$Y$1:$AL$2</c:f>
              <c:multiLvlStrCache>
                <c:ptCount val="14"/>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pt idx="13">
                    <c:v>Ιανουάριος</c:v>
                  </c:pt>
                </c:lvl>
                <c:lvl>
                  <c:pt idx="1">
                    <c:v>2015</c:v>
                  </c:pt>
                  <c:pt idx="13">
                    <c:v>2016</c:v>
                  </c:pt>
                </c:lvl>
              </c:multiLvlStrCache>
            </c:multiLvlStrRef>
          </c:cat>
          <c:val>
            <c:numRef>
              <c:f>'ηλικία '!$Y$8:$AL$8</c:f>
              <c:numCache>
                <c:formatCode>General</c:formatCode>
                <c:ptCount val="14"/>
                <c:pt idx="0">
                  <c:v>3913</c:v>
                </c:pt>
                <c:pt idx="1">
                  <c:v>4031</c:v>
                </c:pt>
                <c:pt idx="2">
                  <c:v>4100</c:v>
                </c:pt>
                <c:pt idx="3">
                  <c:v>3981</c:v>
                </c:pt>
                <c:pt idx="4">
                  <c:v>3836</c:v>
                </c:pt>
                <c:pt idx="5">
                  <c:v>3706</c:v>
                </c:pt>
                <c:pt idx="6">
                  <c:v>3692</c:v>
                </c:pt>
                <c:pt idx="7">
                  <c:v>3675</c:v>
                </c:pt>
                <c:pt idx="8" formatCode="#,##0">
                  <c:v>3596</c:v>
                </c:pt>
                <c:pt idx="9" formatCode="#,##0">
                  <c:v>3529</c:v>
                </c:pt>
                <c:pt idx="10" formatCode="#,##0">
                  <c:v>3479</c:v>
                </c:pt>
                <c:pt idx="11" formatCode="#,##0">
                  <c:v>3774</c:v>
                </c:pt>
                <c:pt idx="12" formatCode="#,##0">
                  <c:v>3875</c:v>
                </c:pt>
                <c:pt idx="13">
                  <c:v>3968</c:v>
                </c:pt>
              </c:numCache>
            </c:numRef>
          </c:val>
          <c:smooth val="0"/>
        </c:ser>
        <c:dLbls>
          <c:showLegendKey val="0"/>
          <c:showVal val="0"/>
          <c:showCatName val="0"/>
          <c:showSerName val="0"/>
          <c:showPercent val="0"/>
          <c:showBubbleSize val="0"/>
        </c:dLbls>
        <c:marker val="1"/>
        <c:smooth val="0"/>
        <c:axId val="194930944"/>
        <c:axId val="194949120"/>
      </c:lineChart>
      <c:catAx>
        <c:axId val="194930944"/>
        <c:scaling>
          <c:orientation val="minMax"/>
        </c:scaling>
        <c:delete val="0"/>
        <c:axPos val="b"/>
        <c:numFmt formatCode="General" sourceLinked="1"/>
        <c:majorTickMark val="none"/>
        <c:minorTickMark val="none"/>
        <c:tickLblPos val="nextTo"/>
        <c:txPr>
          <a:bodyPr rot="-5400000" vert="horz"/>
          <a:lstStyle/>
          <a:p>
            <a:pPr>
              <a:defRPr lang="el-GR" sz="1000" b="0" i="0" u="none" strike="noStrike" baseline="0">
                <a:solidFill>
                  <a:srgbClr val="000000"/>
                </a:solidFill>
                <a:latin typeface="Calibri"/>
                <a:ea typeface="Calibri"/>
                <a:cs typeface="Calibri"/>
              </a:defRPr>
            </a:pPr>
            <a:endParaRPr lang="el-GR"/>
          </a:p>
        </c:txPr>
        <c:crossAx val="194949120"/>
        <c:crosses val="autoZero"/>
        <c:auto val="1"/>
        <c:lblAlgn val="ctr"/>
        <c:lblOffset val="100"/>
        <c:noMultiLvlLbl val="0"/>
      </c:catAx>
      <c:valAx>
        <c:axId val="194949120"/>
        <c:scaling>
          <c:orientation val="minMax"/>
        </c:scaling>
        <c:delete val="0"/>
        <c:axPos val="l"/>
        <c:majorGridlines/>
        <c:numFmt formatCode="#,##0"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l-GR"/>
          </a:p>
        </c:txPr>
        <c:crossAx val="194930944"/>
        <c:crosses val="autoZero"/>
        <c:crossBetween val="between"/>
      </c:valAx>
    </c:plotArea>
    <c:legend>
      <c:legendPos val="r"/>
      <c:layout>
        <c:manualLayout>
          <c:xMode val="edge"/>
          <c:yMode val="edge"/>
          <c:x val="0.83859506921929305"/>
          <c:y val="0.18831579290562547"/>
          <c:w val="0.1426893883586797"/>
          <c:h val="0.45953178671458011"/>
        </c:manualLayout>
      </c:layout>
      <c:overlay val="0"/>
      <c:txPr>
        <a:bodyPr/>
        <a:lstStyle/>
        <a:p>
          <a:pPr>
            <a:defRPr lang="el-GR" sz="920" b="0" i="0" u="none" strike="noStrike" baseline="0">
              <a:solidFill>
                <a:srgbClr val="000000"/>
              </a:solidFill>
              <a:latin typeface="Calibri"/>
              <a:ea typeface="Calibri"/>
              <a:cs typeface="Calibri"/>
            </a:defRPr>
          </a:pPr>
          <a:endParaRPr lang="el-G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l-G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διάρκεια εγγραφής τους τελευταίους 12 μήνες</a:t>
            </a:r>
            <a:r>
              <a:rPr lang="el-GR"/>
              <a:t> </a:t>
            </a:r>
          </a:p>
        </c:rich>
      </c:tx>
      <c:layout>
        <c:manualLayout>
          <c:xMode val="edge"/>
          <c:yMode val="edge"/>
          <c:x val="0.13615023474178403"/>
          <c:y val="3.5842293906810055E-2"/>
        </c:manualLayout>
      </c:layout>
      <c:overlay val="0"/>
      <c:spPr>
        <a:noFill/>
        <a:ln w="25400">
          <a:noFill/>
        </a:ln>
      </c:spPr>
    </c:title>
    <c:autoTitleDeleted val="0"/>
    <c:plotArea>
      <c:layout>
        <c:manualLayout>
          <c:layoutTarget val="inner"/>
          <c:xMode val="edge"/>
          <c:yMode val="edge"/>
          <c:x val="0.13533734735810271"/>
          <c:y val="0.20660076762351742"/>
          <c:w val="0.65944704164689982"/>
          <c:h val="0.38490536115010426"/>
        </c:manualLayout>
      </c:layout>
      <c:lineChart>
        <c:grouping val="standard"/>
        <c:varyColors val="0"/>
        <c:ser>
          <c:idx val="0"/>
          <c:order val="0"/>
          <c:tx>
            <c:strRef>
              <c:f>'διάρκεια '!$A$8</c:f>
              <c:strCache>
                <c:ptCount val="1"/>
                <c:pt idx="0">
                  <c:v>6 μήνες και πάνω</c:v>
                </c:pt>
              </c:strCache>
            </c:strRef>
          </c:tx>
          <c:marker>
            <c:symbol val="none"/>
          </c:marker>
          <c:cat>
            <c:multiLvlStrRef>
              <c:f>'διάρκεια '!$Z$1:$AL$2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'διάρκεια '!$Z$8:$AL$8</c:f>
              <c:numCache>
                <c:formatCode>General</c:formatCode>
                <c:ptCount val="13"/>
                <c:pt idx="0">
                  <c:v>20138</c:v>
                </c:pt>
                <c:pt idx="1">
                  <c:v>20348</c:v>
                </c:pt>
                <c:pt idx="2">
                  <c:v>20610</c:v>
                </c:pt>
                <c:pt idx="3">
                  <c:v>20377</c:v>
                </c:pt>
                <c:pt idx="4">
                  <c:v>20876</c:v>
                </c:pt>
                <c:pt idx="5">
                  <c:v>19601</c:v>
                </c:pt>
                <c:pt idx="6">
                  <c:v>19433</c:v>
                </c:pt>
                <c:pt idx="7">
                  <c:v>19333</c:v>
                </c:pt>
                <c:pt idx="8">
                  <c:v>18784</c:v>
                </c:pt>
                <c:pt idx="9">
                  <c:v>18528</c:v>
                </c:pt>
                <c:pt idx="10">
                  <c:v>18387</c:v>
                </c:pt>
                <c:pt idx="11">
                  <c:v>18163</c:v>
                </c:pt>
                <c:pt idx="12">
                  <c:v>18649</c:v>
                </c:pt>
              </c:numCache>
            </c:numRef>
          </c:val>
          <c:smooth val="0"/>
        </c:ser>
        <c:ser>
          <c:idx val="1"/>
          <c:order val="1"/>
          <c:tx>
            <c:strRef>
              <c:f>'διάρκεια '!$A$7</c:f>
              <c:strCache>
                <c:ptCount val="1"/>
                <c:pt idx="0">
                  <c:v>12 ΜΗΝΕΣ ΚΑΙ ΠΑΝΩ</c:v>
                </c:pt>
              </c:strCache>
            </c:strRef>
          </c:tx>
          <c:cat>
            <c:multiLvlStrRef>
              <c:f>'διάρκεια '!$Z$1:$AL$2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'διάρκεια '!$Y$7:$AK$7</c:f>
              <c:numCache>
                <c:formatCode>General</c:formatCode>
                <c:ptCount val="13"/>
                <c:pt idx="0">
                  <c:v>11861</c:v>
                </c:pt>
                <c:pt idx="1">
                  <c:v>12257</c:v>
                </c:pt>
                <c:pt idx="2">
                  <c:v>12404</c:v>
                </c:pt>
                <c:pt idx="3">
                  <c:v>12446</c:v>
                </c:pt>
                <c:pt idx="4">
                  <c:v>12280</c:v>
                </c:pt>
                <c:pt idx="5">
                  <c:v>12412</c:v>
                </c:pt>
                <c:pt idx="6">
                  <c:v>12346</c:v>
                </c:pt>
                <c:pt idx="7">
                  <c:v>12368</c:v>
                </c:pt>
                <c:pt idx="8">
                  <c:v>12388</c:v>
                </c:pt>
                <c:pt idx="9">
                  <c:v>12143</c:v>
                </c:pt>
                <c:pt idx="10">
                  <c:v>12141</c:v>
                </c:pt>
                <c:pt idx="11">
                  <c:v>12131</c:v>
                </c:pt>
                <c:pt idx="12">
                  <c:v>11882</c:v>
                </c:pt>
              </c:numCache>
            </c:numRef>
          </c:val>
          <c:smooth val="0"/>
        </c:ser>
        <c:dLbls>
          <c:showLegendKey val="0"/>
          <c:showVal val="0"/>
          <c:showCatName val="0"/>
          <c:showSerName val="0"/>
          <c:showPercent val="0"/>
          <c:showBubbleSize val="0"/>
        </c:dLbls>
        <c:marker val="1"/>
        <c:smooth val="0"/>
        <c:axId val="194959616"/>
        <c:axId val="195035136"/>
      </c:lineChart>
      <c:catAx>
        <c:axId val="194959616"/>
        <c:scaling>
          <c:orientation val="minMax"/>
        </c:scaling>
        <c:delete val="0"/>
        <c:axPos val="b"/>
        <c:numFmt formatCode="General" sourceLinked="1"/>
        <c:majorTickMark val="none"/>
        <c:minorTickMark val="none"/>
        <c:tickLblPos val="nextTo"/>
        <c:txPr>
          <a:bodyPr rot="-5400000" vert="horz"/>
          <a:lstStyle/>
          <a:p>
            <a:pPr>
              <a:defRPr lang="el-GR"/>
            </a:pPr>
            <a:endParaRPr lang="el-GR"/>
          </a:p>
        </c:txPr>
        <c:crossAx val="195035136"/>
        <c:crosses val="autoZero"/>
        <c:auto val="1"/>
        <c:lblAlgn val="ctr"/>
        <c:lblOffset val="100"/>
        <c:noMultiLvlLbl val="0"/>
      </c:catAx>
      <c:valAx>
        <c:axId val="195035136"/>
        <c:scaling>
          <c:orientation val="minMax"/>
          <c:min val="8000"/>
        </c:scaling>
        <c:delete val="0"/>
        <c:axPos val="l"/>
        <c:majorGridlines/>
        <c:numFmt formatCode="General" sourceLinked="1"/>
        <c:majorTickMark val="none"/>
        <c:minorTickMark val="none"/>
        <c:tickLblPos val="nextTo"/>
        <c:txPr>
          <a:bodyPr rot="0" vert="horz"/>
          <a:lstStyle/>
          <a:p>
            <a:pPr>
              <a:defRPr lang="el-GR"/>
            </a:pPr>
            <a:endParaRPr lang="el-GR"/>
          </a:p>
        </c:txPr>
        <c:crossAx val="194959616"/>
        <c:crosses val="autoZero"/>
        <c:crossBetween val="between"/>
        <c:majorUnit val="2000"/>
      </c:valAx>
    </c:plotArea>
    <c:legend>
      <c:legendPos val="r"/>
      <c:layout>
        <c:manualLayout>
          <c:xMode val="edge"/>
          <c:yMode val="edge"/>
          <c:x val="0.77127637346720668"/>
          <c:y val="0.19089146775118698"/>
          <c:w val="0.22535211267605632"/>
          <c:h val="0.44444444444444442"/>
        </c:manualLayout>
      </c:layout>
      <c:overlay val="0"/>
      <c:txPr>
        <a:bodyPr/>
        <a:lstStyle/>
        <a:p>
          <a:pPr>
            <a:defRPr lang="el-GR"/>
          </a:pPr>
          <a:endParaRPr lang="el-GR"/>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μορφωτικό επίπεδο τους τελευταίους 12 μήνες </a:t>
            </a:r>
          </a:p>
        </c:rich>
      </c:tx>
      <c:layout>
        <c:manualLayout>
          <c:xMode val="edge"/>
          <c:yMode val="edge"/>
          <c:x val="0.16719448255125693"/>
          <c:y val="3.2525847924787202E-2"/>
        </c:manualLayout>
      </c:layout>
      <c:overlay val="0"/>
      <c:spPr>
        <a:noFill/>
        <a:ln w="25400">
          <a:noFill/>
        </a:ln>
      </c:spPr>
    </c:title>
    <c:autoTitleDeleted val="0"/>
    <c:plotArea>
      <c:layout>
        <c:manualLayout>
          <c:layoutTarget val="inner"/>
          <c:xMode val="edge"/>
          <c:yMode val="edge"/>
          <c:x val="0.12949185405878319"/>
          <c:y val="0.21607923110330876"/>
          <c:w val="0.59834598377905457"/>
          <c:h val="0.29523140542683929"/>
        </c:manualLayout>
      </c:layout>
      <c:lineChart>
        <c:grouping val="standard"/>
        <c:varyColors val="0"/>
        <c:ser>
          <c:idx val="1"/>
          <c:order val="0"/>
          <c:tx>
            <c:strRef>
              <c:f>μόρφωση!$A$8</c:f>
              <c:strCache>
                <c:ptCount val="1"/>
                <c:pt idx="0">
                  <c:v>Δευτεροβάθμια Εκπαίδευση</c:v>
                </c:pt>
              </c:strCache>
            </c:strRef>
          </c:tx>
          <c:cat>
            <c:multiLvlStrRef>
              <c:f>μόρφωση!$Z$1:$AL$2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μόρφωση!$Z$8:$AL$8</c:f>
              <c:numCache>
                <c:formatCode>#,##0</c:formatCode>
                <c:ptCount val="13"/>
                <c:pt idx="0">
                  <c:v>25722</c:v>
                </c:pt>
                <c:pt idx="1">
                  <c:v>25914</c:v>
                </c:pt>
                <c:pt idx="2">
                  <c:v>24657</c:v>
                </c:pt>
                <c:pt idx="3">
                  <c:v>21655</c:v>
                </c:pt>
                <c:pt idx="4">
                  <c:v>19785</c:v>
                </c:pt>
                <c:pt idx="5">
                  <c:v>19456</c:v>
                </c:pt>
                <c:pt idx="6">
                  <c:v>19705</c:v>
                </c:pt>
                <c:pt idx="7">
                  <c:v>19221</c:v>
                </c:pt>
                <c:pt idx="8">
                  <c:v>18441</c:v>
                </c:pt>
                <c:pt idx="9">
                  <c:v>18215</c:v>
                </c:pt>
                <c:pt idx="10">
                  <c:v>22229</c:v>
                </c:pt>
                <c:pt idx="11">
                  <c:v>22763</c:v>
                </c:pt>
                <c:pt idx="12">
                  <c:v>23529</c:v>
                </c:pt>
              </c:numCache>
            </c:numRef>
          </c:val>
          <c:smooth val="0"/>
        </c:ser>
        <c:ser>
          <c:idx val="2"/>
          <c:order val="1"/>
          <c:tx>
            <c:strRef>
              <c:f>μόρφωση!$A$9</c:f>
              <c:strCache>
                <c:ptCount val="1"/>
                <c:pt idx="0">
                  <c:v>Τριτοβάθμια Εκπαίδευση</c:v>
                </c:pt>
              </c:strCache>
            </c:strRef>
          </c:tx>
          <c:cat>
            <c:multiLvlStrRef>
              <c:f>μόρφωση!$Z$1:$AL$2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μόρφωση!$Z$9:$AL$9</c:f>
              <c:numCache>
                <c:formatCode>General</c:formatCode>
                <c:ptCount val="13"/>
                <c:pt idx="0" formatCode="#,##0">
                  <c:v>12409</c:v>
                </c:pt>
                <c:pt idx="1">
                  <c:v>12398</c:v>
                </c:pt>
                <c:pt idx="2">
                  <c:v>12105</c:v>
                </c:pt>
                <c:pt idx="3">
                  <c:v>11447</c:v>
                </c:pt>
                <c:pt idx="4">
                  <c:v>11495</c:v>
                </c:pt>
                <c:pt idx="5">
                  <c:v>13421</c:v>
                </c:pt>
                <c:pt idx="6">
                  <c:v>14668</c:v>
                </c:pt>
                <c:pt idx="7">
                  <c:v>14227</c:v>
                </c:pt>
                <c:pt idx="8">
                  <c:v>12440</c:v>
                </c:pt>
                <c:pt idx="9">
                  <c:v>11192</c:v>
                </c:pt>
                <c:pt idx="10">
                  <c:v>11434</c:v>
                </c:pt>
                <c:pt idx="11">
                  <c:v>11233</c:v>
                </c:pt>
                <c:pt idx="12" formatCode="#,##0">
                  <c:v>11433</c:v>
                </c:pt>
              </c:numCache>
            </c:numRef>
          </c:val>
          <c:smooth val="0"/>
        </c:ser>
        <c:ser>
          <c:idx val="0"/>
          <c:order val="2"/>
          <c:tx>
            <c:strRef>
              <c:f>μόρφωση!$A$5</c:f>
              <c:strCache>
                <c:ptCount val="1"/>
                <c:pt idx="0">
                  <c:v>Πρωτοβάθμια Εκπαίδευση</c:v>
                </c:pt>
              </c:strCache>
            </c:strRef>
          </c:tx>
          <c:marker>
            <c:symbol val="none"/>
          </c:marker>
          <c:cat>
            <c:multiLvlStrRef>
              <c:f>μόρφωση!$Z$1:$AL$2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μόρφωση!$Z$5:$AL$5</c:f>
              <c:numCache>
                <c:formatCode>#,##0</c:formatCode>
                <c:ptCount val="13"/>
                <c:pt idx="0">
                  <c:v>11908</c:v>
                </c:pt>
                <c:pt idx="1">
                  <c:v>11928</c:v>
                </c:pt>
                <c:pt idx="2">
                  <c:v>11071</c:v>
                </c:pt>
                <c:pt idx="3">
                  <c:v>9449</c:v>
                </c:pt>
                <c:pt idx="4">
                  <c:v>8392</c:v>
                </c:pt>
                <c:pt idx="5">
                  <c:v>7999</c:v>
                </c:pt>
                <c:pt idx="6">
                  <c:v>7803</c:v>
                </c:pt>
                <c:pt idx="7">
                  <c:v>7540</c:v>
                </c:pt>
                <c:pt idx="8">
                  <c:v>7484</c:v>
                </c:pt>
                <c:pt idx="9">
                  <c:v>7609</c:v>
                </c:pt>
                <c:pt idx="10">
                  <c:v>9939</c:v>
                </c:pt>
                <c:pt idx="11">
                  <c:v>10554</c:v>
                </c:pt>
                <c:pt idx="12">
                  <c:v>11007</c:v>
                </c:pt>
              </c:numCache>
            </c:numRef>
          </c:val>
          <c:smooth val="0"/>
        </c:ser>
        <c:dLbls>
          <c:showLegendKey val="0"/>
          <c:showVal val="0"/>
          <c:showCatName val="0"/>
          <c:showSerName val="0"/>
          <c:showPercent val="0"/>
          <c:showBubbleSize val="0"/>
        </c:dLbls>
        <c:marker val="1"/>
        <c:smooth val="0"/>
        <c:axId val="195147264"/>
        <c:axId val="195148800"/>
      </c:lineChart>
      <c:catAx>
        <c:axId val="195147264"/>
        <c:scaling>
          <c:orientation val="minMax"/>
        </c:scaling>
        <c:delete val="0"/>
        <c:axPos val="b"/>
        <c:numFmt formatCode="General" sourceLinked="1"/>
        <c:majorTickMark val="none"/>
        <c:minorTickMark val="none"/>
        <c:tickLblPos val="nextTo"/>
        <c:txPr>
          <a:bodyPr rot="-5400000" vert="horz"/>
          <a:lstStyle/>
          <a:p>
            <a:pPr>
              <a:defRPr lang="el-GR"/>
            </a:pPr>
            <a:endParaRPr lang="el-GR"/>
          </a:p>
        </c:txPr>
        <c:crossAx val="195148800"/>
        <c:crosses val="autoZero"/>
        <c:auto val="1"/>
        <c:lblAlgn val="ctr"/>
        <c:lblOffset val="100"/>
        <c:noMultiLvlLbl val="0"/>
      </c:catAx>
      <c:valAx>
        <c:axId val="195148800"/>
        <c:scaling>
          <c:orientation val="minMax"/>
        </c:scaling>
        <c:delete val="0"/>
        <c:axPos val="l"/>
        <c:majorGridlines/>
        <c:numFmt formatCode="#,##0" sourceLinked="1"/>
        <c:majorTickMark val="none"/>
        <c:minorTickMark val="none"/>
        <c:tickLblPos val="nextTo"/>
        <c:txPr>
          <a:bodyPr rot="0" vert="horz"/>
          <a:lstStyle/>
          <a:p>
            <a:pPr>
              <a:defRPr lang="el-GR"/>
            </a:pPr>
            <a:endParaRPr lang="el-GR"/>
          </a:p>
        </c:txPr>
        <c:crossAx val="195147264"/>
        <c:crosses val="autoZero"/>
        <c:crossBetween val="between"/>
        <c:majorUnit val="5000"/>
      </c:valAx>
    </c:plotArea>
    <c:legend>
      <c:legendPos val="r"/>
      <c:layout>
        <c:manualLayout>
          <c:xMode val="edge"/>
          <c:yMode val="edge"/>
          <c:x val="0.73774062729032674"/>
          <c:y val="0.21780104910888681"/>
          <c:w val="0.24643224113512555"/>
          <c:h val="0.39561740028398457"/>
        </c:manualLayout>
      </c:layout>
      <c:overlay val="0"/>
      <c:txPr>
        <a:bodyPr/>
        <a:lstStyle/>
        <a:p>
          <a:pPr>
            <a:defRPr lang="el-GR"/>
          </a:pPr>
          <a:endParaRPr lang="el-GR"/>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a:t>
            </a:r>
            <a:r>
              <a:rPr lang="en-US" sz="1200"/>
              <a:t> </a:t>
            </a:r>
            <a:r>
              <a:rPr lang="el-GR" sz="1200"/>
              <a:t> κατά</a:t>
            </a:r>
            <a:r>
              <a:rPr lang="el-GR" sz="1200" baseline="0"/>
              <a:t> εθνότητα</a:t>
            </a:r>
            <a:r>
              <a:rPr lang="en-US" sz="1200"/>
              <a:t> </a:t>
            </a:r>
            <a:r>
              <a:rPr lang="el-GR" sz="1200"/>
              <a:t> </a:t>
            </a:r>
          </a:p>
          <a:p>
            <a:pPr>
              <a:defRPr lang="el-GR" sz="1200"/>
            </a:pPr>
            <a:r>
              <a:rPr lang="el-GR" sz="1200"/>
              <a:t>τους τελευταίους 12 μήνες </a:t>
            </a:r>
          </a:p>
        </c:rich>
      </c:tx>
      <c:layout>
        <c:manualLayout>
          <c:xMode val="edge"/>
          <c:yMode val="edge"/>
          <c:x val="0.25091619969845086"/>
          <c:y val="3.7453320507522425E-2"/>
        </c:manualLayout>
      </c:layout>
      <c:overlay val="0"/>
      <c:spPr>
        <a:noFill/>
        <a:ln w="25400">
          <a:noFill/>
        </a:ln>
      </c:spPr>
    </c:title>
    <c:autoTitleDeleted val="0"/>
    <c:plotArea>
      <c:layout>
        <c:manualLayout>
          <c:layoutTarget val="inner"/>
          <c:xMode val="edge"/>
          <c:yMode val="edge"/>
          <c:x val="9.6150841969498274E-2"/>
          <c:y val="0.24094960040107638"/>
          <c:w val="0.58061855670103057"/>
          <c:h val="0.3171048001022389"/>
        </c:manualLayout>
      </c:layout>
      <c:lineChart>
        <c:grouping val="standard"/>
        <c:varyColors val="0"/>
        <c:ser>
          <c:idx val="0"/>
          <c:order val="0"/>
          <c:tx>
            <c:strRef>
              <c:f>'υπηκοότητα '!$A$4</c:f>
              <c:strCache>
                <c:ptCount val="1"/>
                <c:pt idx="0">
                  <c:v>ΑΤΟΜΑ ΑΠΟ ΕΕ</c:v>
                </c:pt>
              </c:strCache>
            </c:strRef>
          </c:tx>
          <c:marker>
            <c:symbol val="none"/>
          </c:marker>
          <c:cat>
            <c:multiLvlStrRef>
              <c:f>'υπηκοότητα '!$Z$1:$AL$2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'υπηκοότητα '!$Z$4:$AL$4</c:f>
              <c:numCache>
                <c:formatCode>General</c:formatCode>
                <c:ptCount val="13"/>
                <c:pt idx="0">
                  <c:v>7601</c:v>
                </c:pt>
                <c:pt idx="1">
                  <c:v>7742</c:v>
                </c:pt>
                <c:pt idx="2">
                  <c:v>7025</c:v>
                </c:pt>
                <c:pt idx="3">
                  <c:v>5395</c:v>
                </c:pt>
                <c:pt idx="4">
                  <c:v>4392</c:v>
                </c:pt>
                <c:pt idx="5">
                  <c:v>4137</c:v>
                </c:pt>
                <c:pt idx="6">
                  <c:v>3963</c:v>
                </c:pt>
                <c:pt idx="7">
                  <c:v>3786</c:v>
                </c:pt>
                <c:pt idx="8">
                  <c:v>3796</c:v>
                </c:pt>
                <c:pt idx="9">
                  <c:v>3957</c:v>
                </c:pt>
                <c:pt idx="10">
                  <c:v>6498</c:v>
                </c:pt>
                <c:pt idx="11">
                  <c:v>6824</c:v>
                </c:pt>
                <c:pt idx="12">
                  <c:v>7187</c:v>
                </c:pt>
              </c:numCache>
            </c:numRef>
          </c:val>
          <c:smooth val="0"/>
        </c:ser>
        <c:ser>
          <c:idx val="1"/>
          <c:order val="1"/>
          <c:tx>
            <c:strRef>
              <c:f>'υπηκοότητα '!$A$5</c:f>
              <c:strCache>
                <c:ptCount val="1"/>
                <c:pt idx="0">
                  <c:v>ΠΟΝΤΙΟΙ</c:v>
                </c:pt>
              </c:strCache>
            </c:strRef>
          </c:tx>
          <c:cat>
            <c:multiLvlStrRef>
              <c:f>'υπηκοότητα '!$Z$1:$AL$2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'υπηκοότητα '!$Z$5:$AL$5</c:f>
              <c:numCache>
                <c:formatCode>General</c:formatCode>
                <c:ptCount val="13"/>
                <c:pt idx="0">
                  <c:v>2020</c:v>
                </c:pt>
                <c:pt idx="1">
                  <c:v>2005</c:v>
                </c:pt>
                <c:pt idx="2">
                  <c:v>1889</c:v>
                </c:pt>
                <c:pt idx="3">
                  <c:v>1682</c:v>
                </c:pt>
                <c:pt idx="4">
                  <c:v>1525</c:v>
                </c:pt>
                <c:pt idx="5">
                  <c:v>1431</c:v>
                </c:pt>
                <c:pt idx="6">
                  <c:v>1359</c:v>
                </c:pt>
                <c:pt idx="7">
                  <c:v>1302</c:v>
                </c:pt>
                <c:pt idx="8">
                  <c:v>1353</c:v>
                </c:pt>
                <c:pt idx="9">
                  <c:v>1372</c:v>
                </c:pt>
                <c:pt idx="10">
                  <c:v>1703</c:v>
                </c:pt>
                <c:pt idx="11">
                  <c:v>1791</c:v>
                </c:pt>
                <c:pt idx="12">
                  <c:v>1847</c:v>
                </c:pt>
              </c:numCache>
            </c:numRef>
          </c:val>
          <c:smooth val="0"/>
        </c:ser>
        <c:ser>
          <c:idx val="2"/>
          <c:order val="2"/>
          <c:tx>
            <c:strRef>
              <c:f>'υπηκοότητα '!$A$8</c:f>
              <c:strCache>
                <c:ptCount val="1"/>
                <c:pt idx="0">
                  <c:v>ΑΤΟΜΑ ΜΕ ΚΑΘΕΣΤΩΣ ΣΥΜΠΛΗΡ. ΠΡΟΣΤΑΣΙΑΣ</c:v>
                </c:pt>
              </c:strCache>
            </c:strRef>
          </c:tx>
          <c:spPr>
            <a:ln w="31750">
              <a:prstDash val="sysDash"/>
            </a:ln>
          </c:spPr>
          <c:marker>
            <c:symbol val="none"/>
          </c:marker>
          <c:cat>
            <c:multiLvlStrRef>
              <c:f>'υπηκοότητα '!$Z$1:$AL$2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'υπηκοότητα '!$Z$8:$AL$8</c:f>
              <c:numCache>
                <c:formatCode>General</c:formatCode>
                <c:ptCount val="13"/>
                <c:pt idx="0">
                  <c:v>316</c:v>
                </c:pt>
                <c:pt idx="1">
                  <c:v>333</c:v>
                </c:pt>
                <c:pt idx="2">
                  <c:v>340</c:v>
                </c:pt>
                <c:pt idx="3">
                  <c:v>355</c:v>
                </c:pt>
                <c:pt idx="4">
                  <c:v>396</c:v>
                </c:pt>
                <c:pt idx="5">
                  <c:v>419</c:v>
                </c:pt>
                <c:pt idx="6">
                  <c:v>458</c:v>
                </c:pt>
                <c:pt idx="7">
                  <c:v>502</c:v>
                </c:pt>
                <c:pt idx="8">
                  <c:v>565</c:v>
                </c:pt>
                <c:pt idx="9">
                  <c:v>607</c:v>
                </c:pt>
                <c:pt idx="10">
                  <c:v>680</c:v>
                </c:pt>
                <c:pt idx="11">
                  <c:v>734</c:v>
                </c:pt>
                <c:pt idx="12">
                  <c:v>832</c:v>
                </c:pt>
              </c:numCache>
            </c:numRef>
          </c:val>
          <c:smooth val="0"/>
        </c:ser>
        <c:ser>
          <c:idx val="3"/>
          <c:order val="3"/>
          <c:tx>
            <c:strRef>
              <c:f>'υπηκοότητα '!$A$3</c:f>
              <c:strCache>
                <c:ptCount val="1"/>
                <c:pt idx="0">
                  <c:v>ΕΛΛΗΝΟΚΥΠΡΙΟΙ</c:v>
                </c:pt>
              </c:strCache>
            </c:strRef>
          </c:tx>
          <c:cat>
            <c:multiLvlStrRef>
              <c:f>'υπηκοότητα '!$Z$1:$AL$2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2015</c:v>
                  </c:pt>
                  <c:pt idx="12">
                    <c:v>2016</c:v>
                  </c:pt>
                </c:lvl>
              </c:multiLvlStrCache>
            </c:multiLvlStrRef>
          </c:cat>
          <c:val>
            <c:numRef>
              <c:f>'υπηκοότητα '!$Z$3:$AL$3</c:f>
              <c:numCache>
                <c:formatCode>General</c:formatCode>
                <c:ptCount val="13"/>
                <c:pt idx="0">
                  <c:v>37902</c:v>
                </c:pt>
                <c:pt idx="1">
                  <c:v>37926</c:v>
                </c:pt>
                <c:pt idx="2">
                  <c:v>36410</c:v>
                </c:pt>
                <c:pt idx="3">
                  <c:v>33177</c:v>
                </c:pt>
                <c:pt idx="4">
                  <c:v>31543</c:v>
                </c:pt>
                <c:pt idx="5">
                  <c:v>33099</c:v>
                </c:pt>
                <c:pt idx="6">
                  <c:v>34676</c:v>
                </c:pt>
                <c:pt idx="7">
                  <c:v>33719</c:v>
                </c:pt>
                <c:pt idx="8">
                  <c:v>30960</c:v>
                </c:pt>
                <c:pt idx="9">
                  <c:v>29368</c:v>
                </c:pt>
                <c:pt idx="10">
                  <c:v>32586</c:v>
                </c:pt>
                <c:pt idx="11">
                  <c:v>33017</c:v>
                </c:pt>
                <c:pt idx="12">
                  <c:v>33817</c:v>
                </c:pt>
              </c:numCache>
            </c:numRef>
          </c:val>
          <c:smooth val="0"/>
        </c:ser>
        <c:dLbls>
          <c:showLegendKey val="0"/>
          <c:showVal val="0"/>
          <c:showCatName val="0"/>
          <c:showSerName val="0"/>
          <c:showPercent val="0"/>
          <c:showBubbleSize val="0"/>
        </c:dLbls>
        <c:marker val="1"/>
        <c:smooth val="0"/>
        <c:axId val="195294720"/>
        <c:axId val="195296256"/>
      </c:lineChart>
      <c:catAx>
        <c:axId val="195294720"/>
        <c:scaling>
          <c:orientation val="minMax"/>
        </c:scaling>
        <c:delete val="0"/>
        <c:axPos val="b"/>
        <c:numFmt formatCode="General" sourceLinked="1"/>
        <c:majorTickMark val="none"/>
        <c:minorTickMark val="none"/>
        <c:tickLblPos val="nextTo"/>
        <c:txPr>
          <a:bodyPr rot="-5400000" vert="horz"/>
          <a:lstStyle/>
          <a:p>
            <a:pPr>
              <a:defRPr lang="el-GR"/>
            </a:pPr>
            <a:endParaRPr lang="el-GR"/>
          </a:p>
        </c:txPr>
        <c:crossAx val="195296256"/>
        <c:crosses val="autoZero"/>
        <c:auto val="1"/>
        <c:lblAlgn val="ctr"/>
        <c:lblOffset val="100"/>
        <c:noMultiLvlLbl val="0"/>
      </c:catAx>
      <c:valAx>
        <c:axId val="195296256"/>
        <c:scaling>
          <c:orientation val="minMax"/>
        </c:scaling>
        <c:delete val="0"/>
        <c:axPos val="l"/>
        <c:majorGridlines/>
        <c:numFmt formatCode="General" sourceLinked="1"/>
        <c:majorTickMark val="none"/>
        <c:minorTickMark val="none"/>
        <c:tickLblPos val="nextTo"/>
        <c:txPr>
          <a:bodyPr rot="0" vert="horz"/>
          <a:lstStyle/>
          <a:p>
            <a:pPr>
              <a:defRPr lang="el-GR"/>
            </a:pPr>
            <a:endParaRPr lang="el-GR"/>
          </a:p>
        </c:txPr>
        <c:crossAx val="195294720"/>
        <c:crosses val="autoZero"/>
        <c:crossBetween val="between"/>
        <c:majorUnit val="5000"/>
      </c:valAx>
    </c:plotArea>
    <c:legend>
      <c:legendPos val="r"/>
      <c:layout>
        <c:manualLayout>
          <c:xMode val="edge"/>
          <c:yMode val="edge"/>
          <c:x val="0.67948839480381973"/>
          <c:y val="0.23595591919738917"/>
          <c:w val="0.27419781603474608"/>
          <c:h val="0.55862642169728782"/>
        </c:manualLayout>
      </c:layout>
      <c:overlay val="0"/>
      <c:txPr>
        <a:bodyPr/>
        <a:lstStyle/>
        <a:p>
          <a:pPr>
            <a:defRPr lang="el-GR"/>
          </a:pPr>
          <a:endParaRPr lang="el-GR"/>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8219-41A5-44C1-8293-0A67D555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1469</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Yolanda</dc:creator>
  <cp:lastModifiedBy>Administrator</cp:lastModifiedBy>
  <cp:revision>21</cp:revision>
  <cp:lastPrinted>2016-01-15T09:51:00Z</cp:lastPrinted>
  <dcterms:created xsi:type="dcterms:W3CDTF">2015-12-07T08:16:00Z</dcterms:created>
  <dcterms:modified xsi:type="dcterms:W3CDTF">2016-02-05T08:33:00Z</dcterms:modified>
</cp:coreProperties>
</file>